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0D18" w14:textId="77777777" w:rsidR="000A73A2" w:rsidRDefault="005845DE" w:rsidP="005845DE">
      <w:pPr>
        <w:pStyle w:val="Default"/>
        <w:jc w:val="center"/>
      </w:pPr>
      <w:r>
        <w:rPr>
          <w:noProof/>
          <w:lang w:eastAsia="en-GB"/>
        </w:rPr>
        <w:drawing>
          <wp:inline distT="0" distB="0" distL="0" distR="0" wp14:anchorId="57F5D80D" wp14:editId="0D6E4D42">
            <wp:extent cx="542925" cy="7675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DC%20crest%20high%20resoluti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3713" cy="768708"/>
                    </a:xfrm>
                    <a:prstGeom prst="rect">
                      <a:avLst/>
                    </a:prstGeom>
                  </pic:spPr>
                </pic:pic>
              </a:graphicData>
            </a:graphic>
          </wp:inline>
        </w:drawing>
      </w:r>
    </w:p>
    <w:p w14:paraId="6F8D0651" w14:textId="77777777" w:rsidR="000A73A2" w:rsidRPr="005845DE" w:rsidRDefault="000A73A2" w:rsidP="00BE4BE0">
      <w:pPr>
        <w:pStyle w:val="Default"/>
        <w:jc w:val="center"/>
        <w:rPr>
          <w:sz w:val="28"/>
          <w:szCs w:val="28"/>
        </w:rPr>
      </w:pPr>
      <w:r w:rsidRPr="005845DE">
        <w:rPr>
          <w:b/>
          <w:bCs/>
          <w:sz w:val="28"/>
          <w:szCs w:val="28"/>
        </w:rPr>
        <w:t>NOTICE OF INTENTION TO DISPOSE OF AN ASSET OF COMMUNITY VALUE</w:t>
      </w:r>
    </w:p>
    <w:p w14:paraId="10383EE6" w14:textId="77777777" w:rsidR="000A73A2" w:rsidRDefault="000A73A2" w:rsidP="00BE4BE0">
      <w:pPr>
        <w:pStyle w:val="Default"/>
        <w:jc w:val="center"/>
        <w:rPr>
          <w:sz w:val="23"/>
          <w:szCs w:val="23"/>
        </w:rPr>
      </w:pPr>
      <w:r>
        <w:rPr>
          <w:sz w:val="23"/>
          <w:szCs w:val="23"/>
        </w:rPr>
        <w:t>Localism Act 2011 and the Assets of community Value (England) Regulations 2012</w:t>
      </w:r>
    </w:p>
    <w:p w14:paraId="58D1BF91" w14:textId="77777777" w:rsidR="000A73A2" w:rsidRDefault="000A73A2" w:rsidP="00BE4BE0">
      <w:pPr>
        <w:pStyle w:val="Default"/>
        <w:jc w:val="center"/>
        <w:rPr>
          <w:sz w:val="23"/>
          <w:szCs w:val="23"/>
        </w:rPr>
      </w:pPr>
      <w:r>
        <w:rPr>
          <w:sz w:val="23"/>
          <w:szCs w:val="23"/>
        </w:rPr>
        <w:t>Notice of receipt of a notification under section 95(2) of the Localism Act 2011</w:t>
      </w:r>
    </w:p>
    <w:p w14:paraId="01AEF87E" w14:textId="77777777" w:rsidR="002740FC" w:rsidRDefault="002740FC" w:rsidP="00BE4BE0">
      <w:pPr>
        <w:pStyle w:val="Default"/>
        <w:jc w:val="center"/>
        <w:rPr>
          <w:sz w:val="23"/>
          <w:szCs w:val="23"/>
        </w:rPr>
      </w:pPr>
    </w:p>
    <w:tbl>
      <w:tblPr>
        <w:tblStyle w:val="TableGrid"/>
        <w:tblW w:w="0" w:type="auto"/>
        <w:tblInd w:w="392" w:type="dxa"/>
        <w:tblLook w:val="04A0" w:firstRow="1" w:lastRow="0" w:firstColumn="1" w:lastColumn="0" w:noHBand="0" w:noVBand="1"/>
      </w:tblPr>
      <w:tblGrid>
        <w:gridCol w:w="4536"/>
        <w:gridCol w:w="4314"/>
      </w:tblGrid>
      <w:tr w:rsidR="00F51EC8" w:rsidRPr="00F51EC8" w14:paraId="3F3FE3AA" w14:textId="77777777" w:rsidTr="00F51EC8">
        <w:tc>
          <w:tcPr>
            <w:tcW w:w="4536" w:type="dxa"/>
          </w:tcPr>
          <w:p w14:paraId="1DED0814" w14:textId="56529C1C" w:rsidR="00F51EC8" w:rsidRPr="00F51EC8" w:rsidRDefault="00F51EC8" w:rsidP="0099673B">
            <w:pPr>
              <w:pStyle w:val="Default"/>
              <w:jc w:val="center"/>
              <w:rPr>
                <w:b/>
                <w:bCs/>
                <w:sz w:val="23"/>
                <w:szCs w:val="23"/>
              </w:rPr>
            </w:pPr>
            <w:r w:rsidRPr="00F51EC8">
              <w:rPr>
                <w:b/>
                <w:bCs/>
                <w:sz w:val="23"/>
                <w:szCs w:val="23"/>
              </w:rPr>
              <w:t xml:space="preserve">Asset of Community Value: </w:t>
            </w:r>
            <w:r w:rsidRPr="00F51EC8">
              <w:rPr>
                <w:b/>
                <w:bCs/>
                <w:sz w:val="23"/>
                <w:szCs w:val="23"/>
              </w:rPr>
              <w:tab/>
            </w:r>
            <w:r w:rsidRPr="00F51EC8">
              <w:rPr>
                <w:b/>
                <w:bCs/>
                <w:sz w:val="23"/>
                <w:szCs w:val="23"/>
              </w:rPr>
              <w:tab/>
            </w:r>
            <w:r w:rsidRPr="00F51EC8">
              <w:rPr>
                <w:b/>
                <w:bCs/>
                <w:sz w:val="23"/>
                <w:szCs w:val="23"/>
              </w:rPr>
              <w:tab/>
              <w:t xml:space="preserve">   </w:t>
            </w:r>
          </w:p>
        </w:tc>
        <w:tc>
          <w:tcPr>
            <w:tcW w:w="4314" w:type="dxa"/>
          </w:tcPr>
          <w:p w14:paraId="295BBBC9" w14:textId="1AC8118B" w:rsidR="00F51EC8" w:rsidRPr="00F51EC8" w:rsidRDefault="000927D9" w:rsidP="0099673B">
            <w:pPr>
              <w:pStyle w:val="Default"/>
              <w:rPr>
                <w:b/>
                <w:bCs/>
                <w:sz w:val="23"/>
                <w:szCs w:val="23"/>
              </w:rPr>
            </w:pPr>
            <w:r>
              <w:rPr>
                <w:b/>
                <w:bCs/>
                <w:sz w:val="23"/>
                <w:szCs w:val="23"/>
              </w:rPr>
              <w:t>Willington Old School, The Castle Way, Willington, DE65 6BT</w:t>
            </w:r>
          </w:p>
        </w:tc>
      </w:tr>
      <w:tr w:rsidR="00F51EC8" w:rsidRPr="00F51EC8" w14:paraId="3133178B" w14:textId="77777777" w:rsidTr="00F51EC8">
        <w:tc>
          <w:tcPr>
            <w:tcW w:w="4536" w:type="dxa"/>
          </w:tcPr>
          <w:p w14:paraId="110DBBD7" w14:textId="55487F03" w:rsidR="00F51EC8" w:rsidRPr="00F51EC8" w:rsidRDefault="00F51EC8" w:rsidP="0099673B">
            <w:pPr>
              <w:pStyle w:val="Default"/>
              <w:rPr>
                <w:b/>
                <w:bCs/>
                <w:sz w:val="23"/>
                <w:szCs w:val="23"/>
              </w:rPr>
            </w:pPr>
            <w:r w:rsidRPr="00F51EC8">
              <w:rPr>
                <w:b/>
                <w:bCs/>
                <w:sz w:val="23"/>
                <w:szCs w:val="23"/>
              </w:rPr>
              <w:t>Asset Nominated By:</w:t>
            </w:r>
          </w:p>
        </w:tc>
        <w:tc>
          <w:tcPr>
            <w:tcW w:w="4314" w:type="dxa"/>
          </w:tcPr>
          <w:p w14:paraId="56EBDABB" w14:textId="4B8EA15D" w:rsidR="00F51EC8" w:rsidRPr="000927D9" w:rsidRDefault="000927D9" w:rsidP="0099673B">
            <w:pPr>
              <w:pStyle w:val="Default"/>
              <w:rPr>
                <w:b/>
                <w:bCs/>
                <w:sz w:val="23"/>
                <w:szCs w:val="23"/>
              </w:rPr>
            </w:pPr>
            <w:r w:rsidRPr="000927D9">
              <w:rPr>
                <w:b/>
                <w:bCs/>
                <w:sz w:val="23"/>
                <w:szCs w:val="23"/>
              </w:rPr>
              <w:t>Willington Old School Trust</w:t>
            </w:r>
          </w:p>
        </w:tc>
      </w:tr>
      <w:tr w:rsidR="00F51EC8" w:rsidRPr="00F51EC8" w14:paraId="1E356415" w14:textId="77777777" w:rsidTr="00F51EC8">
        <w:tc>
          <w:tcPr>
            <w:tcW w:w="4536" w:type="dxa"/>
          </w:tcPr>
          <w:p w14:paraId="101B00A6" w14:textId="7EBBA5ED" w:rsidR="00F51EC8" w:rsidRPr="00F51EC8" w:rsidRDefault="00F51EC8" w:rsidP="00F51EC8">
            <w:pPr>
              <w:pStyle w:val="Default"/>
              <w:rPr>
                <w:sz w:val="23"/>
                <w:szCs w:val="23"/>
              </w:rPr>
            </w:pPr>
            <w:r w:rsidRPr="00F51EC8">
              <w:rPr>
                <w:b/>
                <w:bCs/>
                <w:sz w:val="23"/>
                <w:szCs w:val="23"/>
              </w:rPr>
              <w:t>Receipt of Asset Disposal Notice:</w:t>
            </w:r>
            <w:r w:rsidRPr="00F51EC8">
              <w:rPr>
                <w:b/>
                <w:bCs/>
                <w:sz w:val="23"/>
                <w:szCs w:val="23"/>
              </w:rPr>
              <w:tab/>
            </w:r>
          </w:p>
        </w:tc>
        <w:tc>
          <w:tcPr>
            <w:tcW w:w="4314" w:type="dxa"/>
          </w:tcPr>
          <w:p w14:paraId="76F488EA" w14:textId="12CF3C18" w:rsidR="00F51EC8" w:rsidRPr="00F51EC8" w:rsidRDefault="00E1386E" w:rsidP="0099673B">
            <w:pPr>
              <w:pStyle w:val="Default"/>
              <w:rPr>
                <w:b/>
                <w:bCs/>
                <w:sz w:val="23"/>
                <w:szCs w:val="23"/>
              </w:rPr>
            </w:pPr>
            <w:r>
              <w:rPr>
                <w:b/>
                <w:bCs/>
                <w:sz w:val="23"/>
                <w:szCs w:val="23"/>
              </w:rPr>
              <w:t>February 10, 2026</w:t>
            </w:r>
          </w:p>
        </w:tc>
      </w:tr>
      <w:tr w:rsidR="00F51EC8" w:rsidRPr="00F51EC8" w14:paraId="6FA2DA5D" w14:textId="77777777" w:rsidTr="00F51EC8">
        <w:tc>
          <w:tcPr>
            <w:tcW w:w="4536" w:type="dxa"/>
          </w:tcPr>
          <w:p w14:paraId="014D42D7" w14:textId="759F7279" w:rsidR="00F51EC8" w:rsidRPr="00F51EC8" w:rsidRDefault="00F51EC8" w:rsidP="0099673B">
            <w:pPr>
              <w:pStyle w:val="Default"/>
              <w:rPr>
                <w:sz w:val="23"/>
                <w:szCs w:val="23"/>
              </w:rPr>
            </w:pPr>
            <w:r w:rsidRPr="00F51EC8">
              <w:rPr>
                <w:b/>
                <w:bCs/>
                <w:sz w:val="23"/>
                <w:szCs w:val="23"/>
              </w:rPr>
              <w:t xml:space="preserve">Interim Moratorium End Date: </w:t>
            </w:r>
            <w:r w:rsidRPr="00F51EC8">
              <w:rPr>
                <w:b/>
                <w:bCs/>
                <w:sz w:val="23"/>
                <w:szCs w:val="23"/>
              </w:rPr>
              <w:tab/>
            </w:r>
            <w:r w:rsidRPr="00F51EC8">
              <w:rPr>
                <w:b/>
                <w:bCs/>
                <w:sz w:val="23"/>
                <w:szCs w:val="23"/>
              </w:rPr>
              <w:tab/>
              <w:t xml:space="preserve">         </w:t>
            </w:r>
          </w:p>
        </w:tc>
        <w:tc>
          <w:tcPr>
            <w:tcW w:w="4314" w:type="dxa"/>
          </w:tcPr>
          <w:p w14:paraId="0C09D0FB" w14:textId="7CA0ED38" w:rsidR="00F51EC8" w:rsidRPr="00E1386E" w:rsidRDefault="00E1386E" w:rsidP="0099673B">
            <w:pPr>
              <w:pStyle w:val="Default"/>
              <w:rPr>
                <w:b/>
                <w:bCs/>
                <w:sz w:val="23"/>
                <w:szCs w:val="23"/>
              </w:rPr>
            </w:pPr>
            <w:r w:rsidRPr="00E1386E">
              <w:rPr>
                <w:b/>
                <w:bCs/>
                <w:sz w:val="23"/>
                <w:szCs w:val="23"/>
              </w:rPr>
              <w:t>March 24, 2026</w:t>
            </w:r>
          </w:p>
        </w:tc>
      </w:tr>
      <w:tr w:rsidR="00F51EC8" w:rsidRPr="00F51EC8" w14:paraId="655A4405" w14:textId="77777777" w:rsidTr="00F51EC8">
        <w:tc>
          <w:tcPr>
            <w:tcW w:w="4536" w:type="dxa"/>
          </w:tcPr>
          <w:p w14:paraId="55A01B6E" w14:textId="4AC2AF5C" w:rsidR="00F51EC8" w:rsidRPr="00F51EC8" w:rsidRDefault="00F51EC8" w:rsidP="0099673B">
            <w:pPr>
              <w:pStyle w:val="Default"/>
              <w:rPr>
                <w:b/>
                <w:bCs/>
                <w:sz w:val="23"/>
                <w:szCs w:val="23"/>
              </w:rPr>
            </w:pPr>
            <w:r w:rsidRPr="00F51EC8">
              <w:rPr>
                <w:b/>
                <w:bCs/>
                <w:sz w:val="23"/>
                <w:szCs w:val="23"/>
              </w:rPr>
              <w:t>Potential Full Moratorium End Date:</w:t>
            </w:r>
          </w:p>
        </w:tc>
        <w:tc>
          <w:tcPr>
            <w:tcW w:w="4314" w:type="dxa"/>
          </w:tcPr>
          <w:p w14:paraId="7A4933EF" w14:textId="031CCD4A" w:rsidR="00F51EC8" w:rsidRPr="00E1386E" w:rsidRDefault="00E1386E" w:rsidP="0099673B">
            <w:pPr>
              <w:pStyle w:val="Default"/>
              <w:rPr>
                <w:b/>
                <w:bCs/>
                <w:sz w:val="23"/>
                <w:szCs w:val="23"/>
              </w:rPr>
            </w:pPr>
            <w:r w:rsidRPr="00E1386E">
              <w:rPr>
                <w:b/>
                <w:bCs/>
                <w:sz w:val="23"/>
                <w:szCs w:val="23"/>
              </w:rPr>
              <w:t>August 10, 2027</w:t>
            </w:r>
          </w:p>
        </w:tc>
      </w:tr>
    </w:tbl>
    <w:p w14:paraId="697C2AEB" w14:textId="77777777" w:rsidR="002740FC" w:rsidRDefault="002740FC" w:rsidP="000A73A2">
      <w:pPr>
        <w:pStyle w:val="Default"/>
        <w:rPr>
          <w:sz w:val="23"/>
          <w:szCs w:val="23"/>
        </w:rPr>
      </w:pPr>
    </w:p>
    <w:p w14:paraId="5B875BD3" w14:textId="45494CFF" w:rsidR="002740FC" w:rsidRDefault="000A73A2" w:rsidP="002740FC">
      <w:pPr>
        <w:pStyle w:val="Default"/>
        <w:jc w:val="both"/>
        <w:rPr>
          <w:sz w:val="23"/>
          <w:szCs w:val="23"/>
        </w:rPr>
      </w:pPr>
      <w:r>
        <w:rPr>
          <w:sz w:val="23"/>
          <w:szCs w:val="23"/>
        </w:rPr>
        <w:t xml:space="preserve">South Derbyshire District Council gives notice that it has received a notification from the owner of an intention to dispose of </w:t>
      </w:r>
      <w:r w:rsidR="000927D9">
        <w:rPr>
          <w:b/>
          <w:bCs/>
          <w:sz w:val="23"/>
          <w:szCs w:val="23"/>
        </w:rPr>
        <w:t>WILLINGTON OLD SCHOOL</w:t>
      </w:r>
      <w:r>
        <w:rPr>
          <w:sz w:val="23"/>
          <w:szCs w:val="23"/>
        </w:rPr>
        <w:t xml:space="preserve"> listed by the Council as an Asset of Community Value under the Localism Act 2011.</w:t>
      </w:r>
    </w:p>
    <w:p w14:paraId="72DAA16A" w14:textId="77777777" w:rsidR="000A73A2" w:rsidRDefault="000A73A2" w:rsidP="002740FC">
      <w:pPr>
        <w:pStyle w:val="Default"/>
        <w:jc w:val="both"/>
        <w:rPr>
          <w:sz w:val="23"/>
          <w:szCs w:val="23"/>
        </w:rPr>
      </w:pPr>
      <w:r>
        <w:rPr>
          <w:sz w:val="23"/>
          <w:szCs w:val="23"/>
        </w:rPr>
        <w:t xml:space="preserve"> </w:t>
      </w:r>
    </w:p>
    <w:p w14:paraId="486F51B3" w14:textId="6A818A19" w:rsidR="000A73A2" w:rsidRDefault="000A73A2" w:rsidP="002740FC">
      <w:pPr>
        <w:pStyle w:val="Default"/>
        <w:jc w:val="both"/>
        <w:rPr>
          <w:sz w:val="23"/>
          <w:szCs w:val="23"/>
        </w:rPr>
      </w:pPr>
      <w:r>
        <w:rPr>
          <w:sz w:val="23"/>
          <w:szCs w:val="23"/>
        </w:rPr>
        <w:t xml:space="preserve">The Council invites any eligible community interest group to express an interest to be treated as a potential bidder by </w:t>
      </w:r>
      <w:r w:rsidR="002740FC">
        <w:rPr>
          <w:sz w:val="23"/>
          <w:szCs w:val="23"/>
        </w:rPr>
        <w:t xml:space="preserve">completing the form available on the Council website </w:t>
      </w:r>
      <w:r w:rsidR="005845DE">
        <w:rPr>
          <w:sz w:val="23"/>
          <w:szCs w:val="23"/>
        </w:rPr>
        <w:t xml:space="preserve">or from Legal Services </w:t>
      </w:r>
      <w:r w:rsidR="002740FC">
        <w:rPr>
          <w:sz w:val="23"/>
          <w:szCs w:val="23"/>
        </w:rPr>
        <w:t xml:space="preserve">and submitting it </w:t>
      </w:r>
      <w:r w:rsidRPr="005845DE">
        <w:rPr>
          <w:b/>
          <w:sz w:val="23"/>
          <w:szCs w:val="23"/>
        </w:rPr>
        <w:t xml:space="preserve">no later than </w:t>
      </w:r>
      <w:r w:rsidR="00F51EC8">
        <w:rPr>
          <w:b/>
          <w:sz w:val="23"/>
          <w:szCs w:val="23"/>
        </w:rPr>
        <w:t>noon</w:t>
      </w:r>
      <w:r w:rsidRPr="005845DE">
        <w:rPr>
          <w:b/>
          <w:sz w:val="23"/>
          <w:szCs w:val="23"/>
        </w:rPr>
        <w:t xml:space="preserve"> </w:t>
      </w:r>
      <w:r w:rsidR="00E1386E">
        <w:rPr>
          <w:b/>
          <w:sz w:val="23"/>
          <w:szCs w:val="23"/>
        </w:rPr>
        <w:t>March 24, 2026.</w:t>
      </w:r>
    </w:p>
    <w:p w14:paraId="719E12F8" w14:textId="77777777" w:rsidR="000A73A2" w:rsidRDefault="000A73A2" w:rsidP="000A73A2">
      <w:pPr>
        <w:pStyle w:val="Default"/>
        <w:rPr>
          <w:sz w:val="23"/>
          <w:szCs w:val="23"/>
        </w:rPr>
      </w:pPr>
    </w:p>
    <w:p w14:paraId="584AB738" w14:textId="77777777" w:rsidR="000A73A2" w:rsidRDefault="000A73A2" w:rsidP="000A73A2">
      <w:pPr>
        <w:pStyle w:val="Default"/>
        <w:rPr>
          <w:sz w:val="23"/>
          <w:szCs w:val="23"/>
        </w:rPr>
      </w:pPr>
      <w:r>
        <w:rPr>
          <w:sz w:val="23"/>
          <w:szCs w:val="23"/>
        </w:rPr>
        <w:t xml:space="preserve">The council will, as soon as practical, notify the owner of any requests that it receives. </w:t>
      </w:r>
    </w:p>
    <w:p w14:paraId="4B2459EE" w14:textId="77777777" w:rsidR="000927D9" w:rsidRDefault="000927D9" w:rsidP="000A73A2">
      <w:pPr>
        <w:pStyle w:val="Default"/>
        <w:rPr>
          <w:sz w:val="23"/>
          <w:szCs w:val="23"/>
        </w:rPr>
      </w:pPr>
    </w:p>
    <w:p w14:paraId="4563B463" w14:textId="77777777" w:rsidR="000A73A2" w:rsidRDefault="000A73A2" w:rsidP="002740FC">
      <w:pPr>
        <w:pStyle w:val="Default"/>
        <w:jc w:val="both"/>
        <w:rPr>
          <w:sz w:val="23"/>
          <w:szCs w:val="23"/>
        </w:rPr>
      </w:pPr>
      <w:r>
        <w:rPr>
          <w:sz w:val="23"/>
          <w:szCs w:val="23"/>
        </w:rPr>
        <w:t>The Owner of the above listed property may not dispose of their asset during a 6 week initial period starting from the date the Council received the notification from the owner. During this 6 week period (the “interim moratorium”), a</w:t>
      </w:r>
      <w:r w:rsidR="002740FC">
        <w:rPr>
          <w:sz w:val="23"/>
          <w:szCs w:val="23"/>
        </w:rPr>
        <w:t>n eligible</w:t>
      </w:r>
      <w:r>
        <w:rPr>
          <w:sz w:val="23"/>
          <w:szCs w:val="23"/>
        </w:rPr>
        <w:t xml:space="preserve"> community group may request in writing to be treated as a potential bidder for the asset. This request would then result in a 6 month deferral of the disposal (the “full moratorium”). The Owner is not required to accept any bid and once the full moratorium period has expired, may dispose of the asset as they wish until the end of the protected period. </w:t>
      </w:r>
    </w:p>
    <w:p w14:paraId="1D0C1A06" w14:textId="77777777" w:rsidR="002740FC" w:rsidRDefault="002740FC" w:rsidP="002740FC">
      <w:pPr>
        <w:pStyle w:val="Default"/>
        <w:jc w:val="both"/>
        <w:rPr>
          <w:sz w:val="23"/>
          <w:szCs w:val="23"/>
        </w:rPr>
      </w:pPr>
    </w:p>
    <w:p w14:paraId="744F2CC5" w14:textId="77777777" w:rsidR="000A73A2" w:rsidRDefault="000A73A2" w:rsidP="002740FC">
      <w:pPr>
        <w:pStyle w:val="Default"/>
        <w:jc w:val="both"/>
        <w:rPr>
          <w:sz w:val="23"/>
          <w:szCs w:val="23"/>
        </w:rPr>
      </w:pPr>
      <w:r>
        <w:rPr>
          <w:sz w:val="23"/>
          <w:szCs w:val="23"/>
        </w:rPr>
        <w:t xml:space="preserve">To be eligible to request being treated as a possible bidder for the asset, a community interest group must have a local connection and have one or more of the following structures: </w:t>
      </w:r>
    </w:p>
    <w:p w14:paraId="1C75848B" w14:textId="77777777" w:rsidR="000A73A2" w:rsidRDefault="000A73A2" w:rsidP="000A73A2">
      <w:pPr>
        <w:pStyle w:val="Default"/>
        <w:rPr>
          <w:sz w:val="23"/>
          <w:szCs w:val="23"/>
        </w:rPr>
      </w:pPr>
      <w:r>
        <w:rPr>
          <w:sz w:val="23"/>
          <w:szCs w:val="23"/>
        </w:rPr>
        <w:t xml:space="preserve"> A charity </w:t>
      </w:r>
    </w:p>
    <w:p w14:paraId="636A8F74" w14:textId="77777777" w:rsidR="000A73A2" w:rsidRDefault="000A73A2" w:rsidP="000A73A2">
      <w:pPr>
        <w:pStyle w:val="Default"/>
        <w:rPr>
          <w:sz w:val="23"/>
          <w:szCs w:val="23"/>
        </w:rPr>
      </w:pPr>
      <w:r>
        <w:rPr>
          <w:sz w:val="23"/>
          <w:szCs w:val="23"/>
        </w:rPr>
        <w:t xml:space="preserve"> A community interest company </w:t>
      </w:r>
    </w:p>
    <w:p w14:paraId="0A0E2F82" w14:textId="77777777" w:rsidR="000A73A2" w:rsidRDefault="000A73A2" w:rsidP="000A73A2">
      <w:pPr>
        <w:pStyle w:val="Default"/>
        <w:rPr>
          <w:sz w:val="23"/>
          <w:szCs w:val="23"/>
        </w:rPr>
      </w:pPr>
      <w:r>
        <w:rPr>
          <w:sz w:val="23"/>
          <w:szCs w:val="23"/>
        </w:rPr>
        <w:t xml:space="preserve"> A company limited by guarantee that is non-profit distributing </w:t>
      </w:r>
    </w:p>
    <w:p w14:paraId="5D4143F3" w14:textId="77777777" w:rsidR="000A73A2" w:rsidRDefault="000A73A2" w:rsidP="000A73A2">
      <w:pPr>
        <w:pStyle w:val="Default"/>
        <w:rPr>
          <w:sz w:val="23"/>
          <w:szCs w:val="23"/>
        </w:rPr>
      </w:pPr>
      <w:r>
        <w:rPr>
          <w:sz w:val="23"/>
          <w:szCs w:val="23"/>
        </w:rPr>
        <w:t xml:space="preserve"> An industrial and provident society that is non-profit distributing </w:t>
      </w:r>
    </w:p>
    <w:p w14:paraId="2BD8A42F" w14:textId="77777777" w:rsidR="000A73A2" w:rsidRDefault="000A73A2" w:rsidP="000A73A2">
      <w:pPr>
        <w:pStyle w:val="Default"/>
        <w:rPr>
          <w:sz w:val="23"/>
          <w:szCs w:val="23"/>
        </w:rPr>
      </w:pPr>
      <w:r>
        <w:rPr>
          <w:sz w:val="23"/>
          <w:szCs w:val="23"/>
        </w:rPr>
        <w:t xml:space="preserve"> A parish council </w:t>
      </w:r>
    </w:p>
    <w:p w14:paraId="311F6FEC" w14:textId="77777777" w:rsidR="002740FC" w:rsidRDefault="002740FC" w:rsidP="000A73A2">
      <w:pPr>
        <w:pStyle w:val="Default"/>
        <w:rPr>
          <w:sz w:val="23"/>
          <w:szCs w:val="23"/>
        </w:rPr>
      </w:pPr>
    </w:p>
    <w:p w14:paraId="1E158A33" w14:textId="77777777" w:rsidR="000A73A2" w:rsidRDefault="000A73A2" w:rsidP="002740FC">
      <w:pPr>
        <w:pStyle w:val="Default"/>
        <w:jc w:val="both"/>
        <w:rPr>
          <w:sz w:val="23"/>
          <w:szCs w:val="23"/>
        </w:rPr>
      </w:pPr>
      <w:r>
        <w:rPr>
          <w:sz w:val="23"/>
          <w:szCs w:val="23"/>
        </w:rPr>
        <w:t xml:space="preserve">It will be the responsibility of any bidder to arrange funding, seek to come to an arrangement with the owner and be responsible for all associated costs. The Council is unable to assist in negotiations or to provide any funding or other assistance. </w:t>
      </w:r>
    </w:p>
    <w:p w14:paraId="3B639BB9" w14:textId="77777777" w:rsidR="002740FC" w:rsidRDefault="002740FC" w:rsidP="000A73A2">
      <w:pPr>
        <w:pStyle w:val="Default"/>
        <w:rPr>
          <w:sz w:val="23"/>
          <w:szCs w:val="23"/>
        </w:rPr>
      </w:pPr>
    </w:p>
    <w:p w14:paraId="7759CFD6" w14:textId="478DF7A2" w:rsidR="000A73A2" w:rsidRDefault="000A73A2" w:rsidP="000A73A2">
      <w:pPr>
        <w:pStyle w:val="Default"/>
        <w:rPr>
          <w:sz w:val="23"/>
          <w:szCs w:val="23"/>
        </w:rPr>
      </w:pPr>
      <w:r>
        <w:rPr>
          <w:sz w:val="23"/>
          <w:szCs w:val="23"/>
        </w:rPr>
        <w:t>Further details on Assets of C</w:t>
      </w:r>
      <w:r w:rsidR="002740FC">
        <w:rPr>
          <w:sz w:val="23"/>
          <w:szCs w:val="23"/>
        </w:rPr>
        <w:t>ommunity Value can be found on:</w:t>
      </w:r>
      <w:r w:rsidR="00F51EC8">
        <w:rPr>
          <w:sz w:val="23"/>
          <w:szCs w:val="23"/>
        </w:rPr>
        <w:t xml:space="preserve">  </w:t>
      </w:r>
      <w:hyperlink r:id="rId5" w:history="1">
        <w:r w:rsidR="00F51EC8" w:rsidRPr="00801B27">
          <w:rPr>
            <w:rStyle w:val="Hyperlink"/>
            <w:sz w:val="23"/>
            <w:szCs w:val="23"/>
          </w:rPr>
          <w:t>https://www.southderbyshire.gov.uk/our-services/planning-and-building-control/planning/assets-of-community-value</w:t>
        </w:r>
      </w:hyperlink>
      <w:r w:rsidR="00F51EC8">
        <w:rPr>
          <w:sz w:val="23"/>
          <w:szCs w:val="23"/>
        </w:rPr>
        <w:t xml:space="preserve"> </w:t>
      </w:r>
    </w:p>
    <w:p w14:paraId="1D6760F1" w14:textId="71197196" w:rsidR="005845DE" w:rsidRDefault="005845DE" w:rsidP="000A73A2">
      <w:pPr>
        <w:pStyle w:val="Default"/>
      </w:pPr>
    </w:p>
    <w:p w14:paraId="45C2A9B8" w14:textId="4EB981DA" w:rsidR="005845DE" w:rsidRDefault="00B82888" w:rsidP="000A73A2">
      <w:pPr>
        <w:pStyle w:val="Default"/>
        <w:rPr>
          <w:sz w:val="23"/>
          <w:szCs w:val="23"/>
        </w:rPr>
      </w:pPr>
      <w:r>
        <w:rPr>
          <w:sz w:val="23"/>
          <w:szCs w:val="23"/>
        </w:rPr>
        <w:t xml:space="preserve">Property Services </w:t>
      </w:r>
      <w:hyperlink r:id="rId6" w:history="1">
        <w:r w:rsidRPr="00BA53DB">
          <w:rPr>
            <w:rStyle w:val="Hyperlink"/>
            <w:sz w:val="23"/>
            <w:szCs w:val="23"/>
          </w:rPr>
          <w:t>property.services@southderbyshire.gov.uk</w:t>
        </w:r>
      </w:hyperlink>
      <w:r>
        <w:rPr>
          <w:sz w:val="23"/>
          <w:szCs w:val="23"/>
        </w:rPr>
        <w:t xml:space="preserve"> </w:t>
      </w:r>
    </w:p>
    <w:sectPr w:rsidR="005845DE" w:rsidSect="005845DE">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3A2"/>
    <w:rsid w:val="00017B35"/>
    <w:rsid w:val="000927D9"/>
    <w:rsid w:val="000A73A2"/>
    <w:rsid w:val="0010140C"/>
    <w:rsid w:val="00131091"/>
    <w:rsid w:val="002740FC"/>
    <w:rsid w:val="005845DE"/>
    <w:rsid w:val="00A150BB"/>
    <w:rsid w:val="00B82888"/>
    <w:rsid w:val="00BE4BE0"/>
    <w:rsid w:val="00E1386E"/>
    <w:rsid w:val="00E916E7"/>
    <w:rsid w:val="00F4597F"/>
    <w:rsid w:val="00F51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AD41"/>
  <w15:docId w15:val="{758E6BB5-60B0-4225-9F18-E060DBDE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73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150BB"/>
    <w:rPr>
      <w:color w:val="0000FF"/>
      <w:u w:val="single"/>
    </w:rPr>
  </w:style>
  <w:style w:type="paragraph" w:styleId="BalloonText">
    <w:name w:val="Balloon Text"/>
    <w:basedOn w:val="Normal"/>
    <w:link w:val="BalloonTextChar"/>
    <w:uiPriority w:val="99"/>
    <w:semiHidden/>
    <w:unhideWhenUsed/>
    <w:rsid w:val="00584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5DE"/>
    <w:rPr>
      <w:rFonts w:ascii="Tahoma" w:hAnsi="Tahoma" w:cs="Tahoma"/>
      <w:sz w:val="16"/>
      <w:szCs w:val="16"/>
    </w:rPr>
  </w:style>
  <w:style w:type="table" w:styleId="TableGrid">
    <w:name w:val="Table Grid"/>
    <w:basedOn w:val="TableNormal"/>
    <w:uiPriority w:val="59"/>
    <w:unhideWhenUsed/>
    <w:rsid w:val="00F51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1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perty.services@southderbyshire.gov.uk" TargetMode="External"/><Relationship Id="rId5" Type="http://schemas.openxmlformats.org/officeDocument/2006/relationships/hyperlink" Target="https://www.southderbyshire.gov.uk/our-services/planning-and-building-control/planning/assets-of-community-valu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420</Words>
  <Characters>2357</Characters>
  <Application>Microsoft Office Word</Application>
  <DocSecurity>0</DocSecurity>
  <Lines>87</Lines>
  <Paragraphs>60</Paragraphs>
  <ScaleCrop>false</ScaleCrop>
  <HeadingPairs>
    <vt:vector size="2" baseType="variant">
      <vt:variant>
        <vt:lpstr>Title</vt:lpstr>
      </vt:variant>
      <vt:variant>
        <vt:i4>1</vt:i4>
      </vt:variant>
    </vt:vector>
  </HeadingPairs>
  <TitlesOfParts>
    <vt:vector size="1" baseType="lpstr">
      <vt:lpstr/>
    </vt:vector>
  </TitlesOfParts>
  <Company>South Derbyshire District Council</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Mohsina</dc:creator>
  <cp:lastModifiedBy>Kerri Bridger</cp:lastModifiedBy>
  <cp:revision>3</cp:revision>
  <dcterms:created xsi:type="dcterms:W3CDTF">2026-02-10T09:38:00Z</dcterms:created>
  <dcterms:modified xsi:type="dcterms:W3CDTF">2026-02-10T11:22:00Z</dcterms:modified>
</cp:coreProperties>
</file>