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7ECB3" w14:textId="77777777" w:rsidR="004C32A9" w:rsidRDefault="004C32A9"/>
    <w:p w14:paraId="4E50809E" w14:textId="77777777" w:rsidR="001030EA" w:rsidRDefault="001030EA"/>
    <w:p w14:paraId="01631554" w14:textId="77777777" w:rsidR="0096127F" w:rsidRDefault="0096127F"/>
    <w:p w14:paraId="5135E885" w14:textId="77777777" w:rsidR="00E45FAA" w:rsidRDefault="00E45FAA"/>
    <w:p w14:paraId="1C260837" w14:textId="77777777" w:rsidR="00E45FAA" w:rsidRDefault="00E45FAA"/>
    <w:p w14:paraId="7A15F95F" w14:textId="77777777" w:rsidR="00E45FAA" w:rsidRDefault="00E45FAA"/>
    <w:p w14:paraId="380CB815" w14:textId="77777777" w:rsidR="00E45FAA" w:rsidRDefault="00E45FAA">
      <w:r>
        <w:rPr>
          <w:noProof/>
          <w:lang w:eastAsia="en-GB"/>
        </w:rPr>
        <mc:AlternateContent>
          <mc:Choice Requires="wps">
            <w:drawing>
              <wp:anchor distT="0" distB="0" distL="114300" distR="114300" simplePos="0" relativeHeight="251658240" behindDoc="0" locked="0" layoutInCell="1" allowOverlap="1" wp14:anchorId="6D15B450" wp14:editId="6EF23568">
                <wp:simplePos x="0" y="0"/>
                <wp:positionH relativeFrom="column">
                  <wp:posOffset>-98946</wp:posOffset>
                </wp:positionH>
                <wp:positionV relativeFrom="paragraph">
                  <wp:posOffset>271988</wp:posOffset>
                </wp:positionV>
                <wp:extent cx="5363570" cy="49677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570" cy="4967785"/>
                        </a:xfrm>
                        <a:prstGeom prst="rect">
                          <a:avLst/>
                        </a:prstGeom>
                        <a:noFill/>
                        <a:ln w="9525">
                          <a:noFill/>
                          <a:miter lim="800000"/>
                          <a:headEnd/>
                          <a:tailEnd/>
                        </a:ln>
                      </wps:spPr>
                      <wps:txbx>
                        <w:txbxContent>
                          <w:p w14:paraId="7333921E" w14:textId="77777777" w:rsidR="00D332FA" w:rsidRDefault="00B33028">
                            <w:pPr>
                              <w:rPr>
                                <w:rFonts w:ascii="Trebuchet MS" w:hAnsi="Trebuchet MS"/>
                                <w:b/>
                                <w:color w:val="2D0054"/>
                                <w:sz w:val="72"/>
                                <w:szCs w:val="72"/>
                              </w:rPr>
                            </w:pPr>
                            <w:r>
                              <w:rPr>
                                <w:rFonts w:ascii="Trebuchet MS" w:hAnsi="Trebuchet MS"/>
                                <w:b/>
                                <w:color w:val="2D0054"/>
                                <w:sz w:val="72"/>
                                <w:szCs w:val="72"/>
                              </w:rPr>
                              <w:t xml:space="preserve">BIODIVERSITY DUTY REPORT </w:t>
                            </w:r>
                          </w:p>
                          <w:p w14:paraId="7BC7509F" w14:textId="77777777" w:rsidR="00D332FA" w:rsidRDefault="00D332FA">
                            <w:pPr>
                              <w:rPr>
                                <w:rFonts w:ascii="Trebuchet MS" w:hAnsi="Trebuchet MS"/>
                                <w:b/>
                                <w:color w:val="2D0054"/>
                                <w:sz w:val="72"/>
                                <w:szCs w:val="72"/>
                              </w:rPr>
                            </w:pPr>
                          </w:p>
                          <w:p w14:paraId="73AFE28C" w14:textId="1C797D44" w:rsidR="00FE71AA" w:rsidRDefault="00B33028">
                            <w:pPr>
                              <w:rPr>
                                <w:rFonts w:ascii="Trebuchet MS" w:hAnsi="Trebuchet MS"/>
                                <w:b/>
                                <w:color w:val="2D0054"/>
                                <w:sz w:val="72"/>
                                <w:szCs w:val="72"/>
                              </w:rPr>
                            </w:pPr>
                            <w:r>
                              <w:rPr>
                                <w:rFonts w:ascii="Trebuchet MS" w:hAnsi="Trebuchet MS"/>
                                <w:b/>
                                <w:color w:val="2D0054"/>
                                <w:sz w:val="72"/>
                                <w:szCs w:val="72"/>
                              </w:rPr>
                              <w:t>REPORTING PERIOD 2025</w:t>
                            </w:r>
                          </w:p>
                          <w:p w14:paraId="3D93174F" w14:textId="77777777" w:rsidR="00AC457D" w:rsidRDefault="00AC457D">
                            <w:pPr>
                              <w:rPr>
                                <w:rFonts w:ascii="Trebuchet MS" w:hAnsi="Trebuchet MS"/>
                                <w:b/>
                                <w:color w:val="2D0054"/>
                                <w:sz w:val="72"/>
                                <w:szCs w:val="72"/>
                              </w:rPr>
                            </w:pPr>
                          </w:p>
                          <w:p w14:paraId="652EB311" w14:textId="75EAB50B" w:rsidR="00B33028" w:rsidRPr="00E45FAA" w:rsidRDefault="00B33028">
                            <w:pPr>
                              <w:rPr>
                                <w:rFonts w:ascii="Trebuchet MS" w:hAnsi="Trebuchet MS"/>
                                <w:b/>
                                <w:color w:val="2D0054"/>
                                <w:sz w:val="72"/>
                                <w:szCs w:val="72"/>
                              </w:rPr>
                            </w:pPr>
                            <w:r>
                              <w:rPr>
                                <w:rFonts w:ascii="Trebuchet MS" w:hAnsi="Trebuchet MS"/>
                                <w:b/>
                                <w:color w:val="2D0054"/>
                                <w:sz w:val="72"/>
                                <w:szCs w:val="72"/>
                              </w:rPr>
                              <w:t>SUBMISSION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15B450" id="_x0000_t202" coordsize="21600,21600" o:spt="202" path="m,l,21600r21600,l21600,xe">
                <v:stroke joinstyle="miter"/>
                <v:path gradientshapeok="t" o:connecttype="rect"/>
              </v:shapetype>
              <v:shape id="Text Box 2" o:spid="_x0000_s1026" type="#_x0000_t202" style="position:absolute;margin-left:-7.8pt;margin-top:21.4pt;width:422.35pt;height:39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" filled="f" stroked="f">
                <v:textbox>
                  <w:txbxContent>
                    <w:p w14:paraId="7333921E" w14:textId="77777777" w:rsidR="00D332FA" w:rsidRDefault="00B33028">
                      <w:pPr>
                        <w:rPr>
                          <w:rFonts w:ascii="Trebuchet MS" w:hAnsi="Trebuchet MS"/>
                          <w:b/>
                          <w:color w:val="2D0054"/>
                          <w:sz w:val="72"/>
                          <w:szCs w:val="72"/>
                        </w:rPr>
                      </w:pPr>
                      <w:r>
                        <w:rPr>
                          <w:rFonts w:ascii="Trebuchet MS" w:hAnsi="Trebuchet MS"/>
                          <w:b/>
                          <w:color w:val="2D0054"/>
                          <w:sz w:val="72"/>
                          <w:szCs w:val="72"/>
                        </w:rPr>
                        <w:t xml:space="preserve">BIODIVERSITY DUTY REPORT </w:t>
                      </w:r>
                    </w:p>
                    <w:p w14:paraId="7BC7509F" w14:textId="77777777" w:rsidR="00D332FA" w:rsidRDefault="00D332FA">
                      <w:pPr>
                        <w:rPr>
                          <w:rFonts w:ascii="Trebuchet MS" w:hAnsi="Trebuchet MS"/>
                          <w:b/>
                          <w:color w:val="2D0054"/>
                          <w:sz w:val="72"/>
                          <w:szCs w:val="72"/>
                        </w:rPr>
                      </w:pPr>
                    </w:p>
                    <w:p w14:paraId="73AFE28C" w14:textId="1C797D44" w:rsidR="00FE71AA" w:rsidRDefault="00B33028">
                      <w:pPr>
                        <w:rPr>
                          <w:rFonts w:ascii="Trebuchet MS" w:hAnsi="Trebuchet MS"/>
                          <w:b/>
                          <w:color w:val="2D0054"/>
                          <w:sz w:val="72"/>
                          <w:szCs w:val="72"/>
                        </w:rPr>
                      </w:pPr>
                      <w:r>
                        <w:rPr>
                          <w:rFonts w:ascii="Trebuchet MS" w:hAnsi="Trebuchet MS"/>
                          <w:b/>
                          <w:color w:val="2D0054"/>
                          <w:sz w:val="72"/>
                          <w:szCs w:val="72"/>
                        </w:rPr>
                        <w:t>REPORTING PERIOD 2025</w:t>
                      </w:r>
                    </w:p>
                    <w:p w14:paraId="3D93174F" w14:textId="77777777" w:rsidR="00AC457D" w:rsidRDefault="00AC457D">
                      <w:pPr>
                        <w:rPr>
                          <w:rFonts w:ascii="Trebuchet MS" w:hAnsi="Trebuchet MS"/>
                          <w:b/>
                          <w:color w:val="2D0054"/>
                          <w:sz w:val="72"/>
                          <w:szCs w:val="72"/>
                        </w:rPr>
                      </w:pPr>
                    </w:p>
                    <w:p w14:paraId="652EB311" w14:textId="75EAB50B" w:rsidR="00B33028" w:rsidRPr="00E45FAA" w:rsidRDefault="00B33028">
                      <w:pPr>
                        <w:rPr>
                          <w:rFonts w:ascii="Trebuchet MS" w:hAnsi="Trebuchet MS"/>
                          <w:b/>
                          <w:color w:val="2D0054"/>
                          <w:sz w:val="72"/>
                          <w:szCs w:val="72"/>
                        </w:rPr>
                      </w:pPr>
                      <w:r>
                        <w:rPr>
                          <w:rFonts w:ascii="Trebuchet MS" w:hAnsi="Trebuchet MS"/>
                          <w:b/>
                          <w:color w:val="2D0054"/>
                          <w:sz w:val="72"/>
                          <w:szCs w:val="72"/>
                        </w:rPr>
                        <w:t>SUBMISSION 2026</w:t>
                      </w:r>
                    </w:p>
                  </w:txbxContent>
                </v:textbox>
              </v:shape>
            </w:pict>
          </mc:Fallback>
        </mc:AlternateContent>
      </w:r>
    </w:p>
    <w:p w14:paraId="5AFEE029" w14:textId="77777777" w:rsidR="00E45FAA" w:rsidRDefault="00E45FAA"/>
    <w:p w14:paraId="7EEA5943" w14:textId="77777777" w:rsidR="00E45FAA" w:rsidRDefault="00E45FAA"/>
    <w:p w14:paraId="7F6F4D68" w14:textId="77777777" w:rsidR="00E45FAA" w:rsidRDefault="00E45FAA"/>
    <w:p w14:paraId="6BF9888A" w14:textId="77777777" w:rsidR="00E45FAA" w:rsidRDefault="00E45FAA"/>
    <w:p w14:paraId="5EF7F66A" w14:textId="77777777" w:rsidR="00E45FAA" w:rsidRDefault="00E45FAA"/>
    <w:p w14:paraId="69B52A14" w14:textId="77777777" w:rsidR="00E45FAA" w:rsidRDefault="00E45FAA"/>
    <w:p w14:paraId="661C3ED8" w14:textId="77777777" w:rsidR="00E45FAA" w:rsidRDefault="00E45FAA"/>
    <w:p w14:paraId="64A3CECA" w14:textId="77777777" w:rsidR="00E45FAA" w:rsidRDefault="00E45FAA"/>
    <w:p w14:paraId="7B4111EB" w14:textId="77777777" w:rsidR="00E45FAA" w:rsidRDefault="00E45FAA"/>
    <w:p w14:paraId="0A594BDA" w14:textId="77777777" w:rsidR="00E45FAA" w:rsidRDefault="00E45FAA"/>
    <w:p w14:paraId="1EBF97D4" w14:textId="77777777" w:rsidR="00E45FAA" w:rsidRDefault="00E45FAA"/>
    <w:p w14:paraId="37306B3F" w14:textId="77777777" w:rsidR="00E45FAA" w:rsidRDefault="00E45FAA"/>
    <w:p w14:paraId="578F1173" w14:textId="77777777" w:rsidR="00E45FAA" w:rsidRDefault="00E45FAA"/>
    <w:p w14:paraId="269D4025" w14:textId="77777777" w:rsidR="00E45FAA" w:rsidRDefault="00E45FAA"/>
    <w:p w14:paraId="79B29D56" w14:textId="77777777" w:rsidR="00E45FAA" w:rsidRDefault="00E45FAA"/>
    <w:p w14:paraId="544ADA89" w14:textId="150ABF03" w:rsidR="00E45FAA" w:rsidRDefault="00E45FAA"/>
    <w:p w14:paraId="56AEA1FE" w14:textId="4B235EB0" w:rsidR="00E45FAA" w:rsidRDefault="00E45FAA"/>
    <w:p w14:paraId="04898084" w14:textId="77777777" w:rsidR="00E45FAA" w:rsidRDefault="00E45FAA"/>
    <w:p w14:paraId="2A14095E" w14:textId="77777777" w:rsidR="00E45FAA" w:rsidRDefault="00E45FAA"/>
    <w:p w14:paraId="5DB82494" w14:textId="77777777" w:rsidR="00E45FAA" w:rsidRDefault="00E45FAA"/>
    <w:sdt>
      <w:sdtPr>
        <w:rPr>
          <w:rFonts w:asciiTheme="minorHAnsi" w:eastAsiaTheme="minorEastAsia" w:hAnsiTheme="minorHAnsi" w:cstheme="minorBidi"/>
          <w:b w:val="0"/>
          <w:bCs w:val="0"/>
          <w:color w:val="auto"/>
          <w:sz w:val="22"/>
          <w:szCs w:val="22"/>
          <w:lang w:val="en-GB" w:eastAsia="en-US"/>
        </w:rPr>
        <w:id w:val="1035314965"/>
        <w:docPartObj>
          <w:docPartGallery w:val="Table of Contents"/>
          <w:docPartUnique/>
        </w:docPartObj>
      </w:sdtPr>
      <w:sdtEndPr>
        <w:rPr>
          <w:noProof/>
        </w:rPr>
      </w:sdtEndPr>
      <w:sdtContent>
        <w:p w14:paraId="7C601BE7" w14:textId="77777777" w:rsidR="00876DB0" w:rsidRDefault="00876DB0">
          <w:pPr>
            <w:pStyle w:val="TOCHeading"/>
          </w:pPr>
          <w:r>
            <w:t>Contents</w:t>
          </w:r>
        </w:p>
        <w:p w14:paraId="5C87366B" w14:textId="2F70992B" w:rsidR="00414128" w:rsidRDefault="00876DB0">
          <w:pPr>
            <w:pStyle w:val="TOC1"/>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16259232" w:history="1">
            <w:r w:rsidR="00414128" w:rsidRPr="00A62376">
              <w:rPr>
                <w:rStyle w:val="Hyperlink"/>
                <w:noProof/>
              </w:rPr>
              <w:t>Version Control</w:t>
            </w:r>
            <w:r w:rsidR="00414128">
              <w:rPr>
                <w:noProof/>
                <w:webHidden/>
              </w:rPr>
              <w:tab/>
            </w:r>
            <w:r w:rsidR="00414128">
              <w:rPr>
                <w:noProof/>
                <w:webHidden/>
              </w:rPr>
              <w:fldChar w:fldCharType="begin"/>
            </w:r>
            <w:r w:rsidR="00414128">
              <w:rPr>
                <w:noProof/>
                <w:webHidden/>
              </w:rPr>
              <w:instrText xml:space="preserve"> PAGEREF _Toc216259232 \h </w:instrText>
            </w:r>
            <w:r w:rsidR="00414128">
              <w:rPr>
                <w:noProof/>
                <w:webHidden/>
              </w:rPr>
            </w:r>
            <w:r w:rsidR="00414128">
              <w:rPr>
                <w:noProof/>
                <w:webHidden/>
              </w:rPr>
              <w:fldChar w:fldCharType="separate"/>
            </w:r>
            <w:r w:rsidR="00414128">
              <w:rPr>
                <w:noProof/>
                <w:webHidden/>
              </w:rPr>
              <w:t>2</w:t>
            </w:r>
            <w:r w:rsidR="00414128">
              <w:rPr>
                <w:noProof/>
                <w:webHidden/>
              </w:rPr>
              <w:fldChar w:fldCharType="end"/>
            </w:r>
          </w:hyperlink>
        </w:p>
        <w:p w14:paraId="4A3F850E" w14:textId="52726523" w:rsidR="00414128" w:rsidRDefault="00414128">
          <w:pPr>
            <w:pStyle w:val="TOC1"/>
            <w:rPr>
              <w:rFonts w:eastAsiaTheme="minorEastAsia"/>
              <w:noProof/>
              <w:kern w:val="2"/>
              <w:sz w:val="24"/>
              <w:szCs w:val="24"/>
              <w:lang w:eastAsia="en-GB"/>
              <w14:ligatures w14:val="standardContextual"/>
            </w:rPr>
          </w:pPr>
          <w:hyperlink w:anchor="_Toc216259233" w:history="1">
            <w:r w:rsidRPr="00A62376">
              <w:rPr>
                <w:rStyle w:val="Hyperlink"/>
                <w:noProof/>
              </w:rPr>
              <w:t>Approvals</w:t>
            </w:r>
            <w:r>
              <w:rPr>
                <w:noProof/>
                <w:webHidden/>
              </w:rPr>
              <w:tab/>
            </w:r>
            <w:r>
              <w:rPr>
                <w:noProof/>
                <w:webHidden/>
              </w:rPr>
              <w:fldChar w:fldCharType="begin"/>
            </w:r>
            <w:r>
              <w:rPr>
                <w:noProof/>
                <w:webHidden/>
              </w:rPr>
              <w:instrText xml:space="preserve"> PAGEREF _Toc216259233 \h </w:instrText>
            </w:r>
            <w:r>
              <w:rPr>
                <w:noProof/>
                <w:webHidden/>
              </w:rPr>
            </w:r>
            <w:r>
              <w:rPr>
                <w:noProof/>
                <w:webHidden/>
              </w:rPr>
              <w:fldChar w:fldCharType="separate"/>
            </w:r>
            <w:r>
              <w:rPr>
                <w:noProof/>
                <w:webHidden/>
              </w:rPr>
              <w:t>2</w:t>
            </w:r>
            <w:r>
              <w:rPr>
                <w:noProof/>
                <w:webHidden/>
              </w:rPr>
              <w:fldChar w:fldCharType="end"/>
            </w:r>
          </w:hyperlink>
        </w:p>
        <w:p w14:paraId="01E0504B" w14:textId="2DE32486" w:rsidR="00414128" w:rsidRDefault="00414128">
          <w:pPr>
            <w:pStyle w:val="TOC1"/>
            <w:rPr>
              <w:rFonts w:eastAsiaTheme="minorEastAsia"/>
              <w:noProof/>
              <w:kern w:val="2"/>
              <w:sz w:val="24"/>
              <w:szCs w:val="24"/>
              <w:lang w:eastAsia="en-GB"/>
              <w14:ligatures w14:val="standardContextual"/>
            </w:rPr>
          </w:pPr>
          <w:hyperlink w:anchor="_Toc216259234" w:history="1">
            <w:r w:rsidRPr="00A62376">
              <w:rPr>
                <w:rStyle w:val="Hyperlink"/>
                <w:noProof/>
              </w:rPr>
              <w:t>Associated Documentation</w:t>
            </w:r>
            <w:r>
              <w:rPr>
                <w:noProof/>
                <w:webHidden/>
              </w:rPr>
              <w:tab/>
            </w:r>
            <w:r>
              <w:rPr>
                <w:noProof/>
                <w:webHidden/>
              </w:rPr>
              <w:fldChar w:fldCharType="begin"/>
            </w:r>
            <w:r>
              <w:rPr>
                <w:noProof/>
                <w:webHidden/>
              </w:rPr>
              <w:instrText xml:space="preserve"> PAGEREF _Toc216259234 \h </w:instrText>
            </w:r>
            <w:r>
              <w:rPr>
                <w:noProof/>
                <w:webHidden/>
              </w:rPr>
            </w:r>
            <w:r>
              <w:rPr>
                <w:noProof/>
                <w:webHidden/>
              </w:rPr>
              <w:fldChar w:fldCharType="separate"/>
            </w:r>
            <w:r>
              <w:rPr>
                <w:noProof/>
                <w:webHidden/>
              </w:rPr>
              <w:t>2</w:t>
            </w:r>
            <w:r>
              <w:rPr>
                <w:noProof/>
                <w:webHidden/>
              </w:rPr>
              <w:fldChar w:fldCharType="end"/>
            </w:r>
          </w:hyperlink>
        </w:p>
        <w:p w14:paraId="1574F76F" w14:textId="6C1A73B9" w:rsidR="00414128" w:rsidRDefault="00414128">
          <w:pPr>
            <w:pStyle w:val="TOC1"/>
            <w:rPr>
              <w:rFonts w:eastAsiaTheme="minorEastAsia"/>
              <w:noProof/>
              <w:kern w:val="2"/>
              <w:sz w:val="24"/>
              <w:szCs w:val="24"/>
              <w:lang w:eastAsia="en-GB"/>
              <w14:ligatures w14:val="standardContextual"/>
            </w:rPr>
          </w:pPr>
          <w:hyperlink w:anchor="_Toc216259235" w:history="1">
            <w:r w:rsidRPr="00A62376">
              <w:rPr>
                <w:rStyle w:val="Hyperlink"/>
                <w:noProof/>
              </w:rPr>
              <w:t>1</w:t>
            </w:r>
            <w:r>
              <w:rPr>
                <w:rFonts w:eastAsiaTheme="minorEastAsia"/>
                <w:noProof/>
                <w:kern w:val="2"/>
                <w:sz w:val="24"/>
                <w:szCs w:val="24"/>
                <w:lang w:eastAsia="en-GB"/>
                <w14:ligatures w14:val="standardContextual"/>
              </w:rPr>
              <w:tab/>
            </w:r>
            <w:r w:rsidRPr="00A62376">
              <w:rPr>
                <w:rStyle w:val="Hyperlink"/>
                <w:noProof/>
              </w:rPr>
              <w:t>Purpose</w:t>
            </w:r>
            <w:r>
              <w:rPr>
                <w:noProof/>
                <w:webHidden/>
              </w:rPr>
              <w:tab/>
            </w:r>
            <w:r>
              <w:rPr>
                <w:noProof/>
                <w:webHidden/>
              </w:rPr>
              <w:fldChar w:fldCharType="begin"/>
            </w:r>
            <w:r>
              <w:rPr>
                <w:noProof/>
                <w:webHidden/>
              </w:rPr>
              <w:instrText xml:space="preserve"> PAGEREF _Toc216259235 \h </w:instrText>
            </w:r>
            <w:r>
              <w:rPr>
                <w:noProof/>
                <w:webHidden/>
              </w:rPr>
            </w:r>
            <w:r>
              <w:rPr>
                <w:noProof/>
                <w:webHidden/>
              </w:rPr>
              <w:fldChar w:fldCharType="separate"/>
            </w:r>
            <w:r>
              <w:rPr>
                <w:noProof/>
                <w:webHidden/>
              </w:rPr>
              <w:t>2</w:t>
            </w:r>
            <w:r>
              <w:rPr>
                <w:noProof/>
                <w:webHidden/>
              </w:rPr>
              <w:fldChar w:fldCharType="end"/>
            </w:r>
          </w:hyperlink>
        </w:p>
        <w:p w14:paraId="43451AEB" w14:textId="3565B7CB" w:rsidR="00414128" w:rsidRDefault="00414128">
          <w:pPr>
            <w:pStyle w:val="TOC1"/>
            <w:rPr>
              <w:rFonts w:eastAsiaTheme="minorEastAsia"/>
              <w:noProof/>
              <w:kern w:val="2"/>
              <w:sz w:val="24"/>
              <w:szCs w:val="24"/>
              <w:lang w:eastAsia="en-GB"/>
              <w14:ligatures w14:val="standardContextual"/>
            </w:rPr>
          </w:pPr>
          <w:hyperlink w:anchor="_Toc216259236" w:history="1">
            <w:r w:rsidRPr="00A62376">
              <w:rPr>
                <w:rStyle w:val="Hyperlink"/>
                <w:noProof/>
              </w:rPr>
              <w:t>2</w:t>
            </w:r>
            <w:r>
              <w:rPr>
                <w:rFonts w:eastAsiaTheme="minorEastAsia"/>
                <w:noProof/>
                <w:kern w:val="2"/>
                <w:sz w:val="24"/>
                <w:szCs w:val="24"/>
                <w:lang w:eastAsia="en-GB"/>
                <w14:ligatures w14:val="standardContextual"/>
              </w:rPr>
              <w:tab/>
            </w:r>
            <w:r w:rsidRPr="00A62376">
              <w:rPr>
                <w:rStyle w:val="Hyperlink"/>
                <w:noProof/>
              </w:rPr>
              <w:t>Policies, Objectives and Actions</w:t>
            </w:r>
            <w:r>
              <w:rPr>
                <w:noProof/>
                <w:webHidden/>
              </w:rPr>
              <w:tab/>
            </w:r>
            <w:r>
              <w:rPr>
                <w:noProof/>
                <w:webHidden/>
              </w:rPr>
              <w:fldChar w:fldCharType="begin"/>
            </w:r>
            <w:r>
              <w:rPr>
                <w:noProof/>
                <w:webHidden/>
              </w:rPr>
              <w:instrText xml:space="preserve"> PAGEREF _Toc216259236 \h </w:instrText>
            </w:r>
            <w:r>
              <w:rPr>
                <w:noProof/>
                <w:webHidden/>
              </w:rPr>
            </w:r>
            <w:r>
              <w:rPr>
                <w:noProof/>
                <w:webHidden/>
              </w:rPr>
              <w:fldChar w:fldCharType="separate"/>
            </w:r>
            <w:r>
              <w:rPr>
                <w:noProof/>
                <w:webHidden/>
              </w:rPr>
              <w:t>3</w:t>
            </w:r>
            <w:r>
              <w:rPr>
                <w:noProof/>
                <w:webHidden/>
              </w:rPr>
              <w:fldChar w:fldCharType="end"/>
            </w:r>
          </w:hyperlink>
        </w:p>
        <w:p w14:paraId="4D267FB0" w14:textId="73EBADD8" w:rsidR="00414128" w:rsidRDefault="00414128">
          <w:pPr>
            <w:pStyle w:val="TOC1"/>
            <w:rPr>
              <w:rFonts w:eastAsiaTheme="minorEastAsia"/>
              <w:noProof/>
              <w:kern w:val="2"/>
              <w:sz w:val="24"/>
              <w:szCs w:val="24"/>
              <w:lang w:eastAsia="en-GB"/>
              <w14:ligatures w14:val="standardContextual"/>
            </w:rPr>
          </w:pPr>
          <w:hyperlink w:anchor="_Toc216259237" w:history="1">
            <w:r w:rsidRPr="00A62376">
              <w:rPr>
                <w:rStyle w:val="Hyperlink"/>
                <w:noProof/>
              </w:rPr>
              <w:t>3</w:t>
            </w:r>
            <w:r>
              <w:rPr>
                <w:rFonts w:eastAsiaTheme="minorEastAsia"/>
                <w:noProof/>
                <w:kern w:val="2"/>
                <w:sz w:val="24"/>
                <w:szCs w:val="24"/>
                <w:lang w:eastAsia="en-GB"/>
                <w14:ligatures w14:val="standardContextual"/>
              </w:rPr>
              <w:tab/>
            </w:r>
            <w:r w:rsidRPr="00A62376">
              <w:rPr>
                <w:rStyle w:val="Hyperlink"/>
                <w:noProof/>
              </w:rPr>
              <w:t>Future Actions</w:t>
            </w:r>
            <w:r>
              <w:rPr>
                <w:noProof/>
                <w:webHidden/>
              </w:rPr>
              <w:tab/>
            </w:r>
            <w:r>
              <w:rPr>
                <w:noProof/>
                <w:webHidden/>
              </w:rPr>
              <w:fldChar w:fldCharType="begin"/>
            </w:r>
            <w:r>
              <w:rPr>
                <w:noProof/>
                <w:webHidden/>
              </w:rPr>
              <w:instrText xml:space="preserve"> PAGEREF _Toc216259237 \h </w:instrText>
            </w:r>
            <w:r>
              <w:rPr>
                <w:noProof/>
                <w:webHidden/>
              </w:rPr>
            </w:r>
            <w:r>
              <w:rPr>
                <w:noProof/>
                <w:webHidden/>
              </w:rPr>
              <w:fldChar w:fldCharType="separate"/>
            </w:r>
            <w:r>
              <w:rPr>
                <w:noProof/>
                <w:webHidden/>
              </w:rPr>
              <w:t>4</w:t>
            </w:r>
            <w:r>
              <w:rPr>
                <w:noProof/>
                <w:webHidden/>
              </w:rPr>
              <w:fldChar w:fldCharType="end"/>
            </w:r>
          </w:hyperlink>
        </w:p>
        <w:p w14:paraId="58FD665E" w14:textId="48D01BE5" w:rsidR="00414128" w:rsidRDefault="00414128">
          <w:pPr>
            <w:pStyle w:val="TOC1"/>
            <w:rPr>
              <w:rFonts w:eastAsiaTheme="minorEastAsia"/>
              <w:noProof/>
              <w:kern w:val="2"/>
              <w:sz w:val="24"/>
              <w:szCs w:val="24"/>
              <w:lang w:eastAsia="en-GB"/>
              <w14:ligatures w14:val="standardContextual"/>
            </w:rPr>
          </w:pPr>
          <w:hyperlink w:anchor="_Toc216259238" w:history="1">
            <w:r w:rsidRPr="00A62376">
              <w:rPr>
                <w:rStyle w:val="Hyperlink"/>
                <w:noProof/>
              </w:rPr>
              <w:t>4</w:t>
            </w:r>
            <w:r>
              <w:rPr>
                <w:rFonts w:eastAsiaTheme="minorEastAsia"/>
                <w:noProof/>
                <w:kern w:val="2"/>
                <w:sz w:val="24"/>
                <w:szCs w:val="24"/>
                <w:lang w:eastAsia="en-GB"/>
                <w14:ligatures w14:val="standardContextual"/>
              </w:rPr>
              <w:tab/>
            </w:r>
            <w:r w:rsidRPr="00A62376">
              <w:rPr>
                <w:rStyle w:val="Hyperlink"/>
                <w:noProof/>
              </w:rPr>
              <w:t>Biodiversity Net Gain Information</w:t>
            </w:r>
            <w:r>
              <w:rPr>
                <w:noProof/>
                <w:webHidden/>
              </w:rPr>
              <w:tab/>
            </w:r>
            <w:r>
              <w:rPr>
                <w:noProof/>
                <w:webHidden/>
              </w:rPr>
              <w:fldChar w:fldCharType="begin"/>
            </w:r>
            <w:r>
              <w:rPr>
                <w:noProof/>
                <w:webHidden/>
              </w:rPr>
              <w:instrText xml:space="preserve"> PAGEREF _Toc216259238 \h </w:instrText>
            </w:r>
            <w:r>
              <w:rPr>
                <w:noProof/>
                <w:webHidden/>
              </w:rPr>
            </w:r>
            <w:r>
              <w:rPr>
                <w:noProof/>
                <w:webHidden/>
              </w:rPr>
              <w:fldChar w:fldCharType="separate"/>
            </w:r>
            <w:r>
              <w:rPr>
                <w:noProof/>
                <w:webHidden/>
              </w:rPr>
              <w:t>5</w:t>
            </w:r>
            <w:r>
              <w:rPr>
                <w:noProof/>
                <w:webHidden/>
              </w:rPr>
              <w:fldChar w:fldCharType="end"/>
            </w:r>
          </w:hyperlink>
        </w:p>
        <w:p w14:paraId="0C4CFF6A" w14:textId="6EE70216" w:rsidR="00414128" w:rsidRDefault="00414128">
          <w:pPr>
            <w:pStyle w:val="TOC1"/>
            <w:rPr>
              <w:rFonts w:eastAsiaTheme="minorEastAsia"/>
              <w:noProof/>
              <w:kern w:val="2"/>
              <w:sz w:val="24"/>
              <w:szCs w:val="24"/>
              <w:lang w:eastAsia="en-GB"/>
              <w14:ligatures w14:val="standardContextual"/>
            </w:rPr>
          </w:pPr>
          <w:hyperlink w:anchor="_Toc216259239" w:history="1">
            <w:r w:rsidRPr="00A62376">
              <w:rPr>
                <w:rStyle w:val="Hyperlink"/>
                <w:noProof/>
              </w:rPr>
              <w:t>5</w:t>
            </w:r>
            <w:r>
              <w:rPr>
                <w:rFonts w:eastAsiaTheme="minorEastAsia"/>
                <w:noProof/>
                <w:kern w:val="2"/>
                <w:sz w:val="24"/>
                <w:szCs w:val="24"/>
                <w:lang w:eastAsia="en-GB"/>
                <w14:ligatures w14:val="standardContextual"/>
              </w:rPr>
              <w:tab/>
            </w:r>
            <w:r w:rsidRPr="00A62376">
              <w:rPr>
                <w:rStyle w:val="Hyperlink"/>
                <w:noProof/>
              </w:rPr>
              <w:t>South Derbyshire District Council</w:t>
            </w:r>
            <w:r>
              <w:rPr>
                <w:noProof/>
                <w:webHidden/>
              </w:rPr>
              <w:tab/>
            </w:r>
            <w:r>
              <w:rPr>
                <w:noProof/>
                <w:webHidden/>
              </w:rPr>
              <w:fldChar w:fldCharType="begin"/>
            </w:r>
            <w:r>
              <w:rPr>
                <w:noProof/>
                <w:webHidden/>
              </w:rPr>
              <w:instrText xml:space="preserve"> PAGEREF _Toc216259239 \h </w:instrText>
            </w:r>
            <w:r>
              <w:rPr>
                <w:noProof/>
                <w:webHidden/>
              </w:rPr>
            </w:r>
            <w:r>
              <w:rPr>
                <w:noProof/>
                <w:webHidden/>
              </w:rPr>
              <w:fldChar w:fldCharType="separate"/>
            </w:r>
            <w:r>
              <w:rPr>
                <w:noProof/>
                <w:webHidden/>
              </w:rPr>
              <w:t>7</w:t>
            </w:r>
            <w:r>
              <w:rPr>
                <w:noProof/>
                <w:webHidden/>
              </w:rPr>
              <w:fldChar w:fldCharType="end"/>
            </w:r>
          </w:hyperlink>
        </w:p>
        <w:p w14:paraId="00EF4221" w14:textId="768D5BA7" w:rsidR="00414128" w:rsidRDefault="00414128">
          <w:pPr>
            <w:pStyle w:val="TOC1"/>
            <w:rPr>
              <w:rFonts w:eastAsiaTheme="minorEastAsia"/>
              <w:noProof/>
              <w:kern w:val="2"/>
              <w:sz w:val="24"/>
              <w:szCs w:val="24"/>
              <w:lang w:eastAsia="en-GB"/>
              <w14:ligatures w14:val="standardContextual"/>
            </w:rPr>
          </w:pPr>
          <w:hyperlink w:anchor="_Toc216259240" w:history="1">
            <w:r w:rsidRPr="00A62376">
              <w:rPr>
                <w:rStyle w:val="Hyperlink"/>
                <w:noProof/>
              </w:rPr>
              <w:t>6</w:t>
            </w:r>
            <w:r>
              <w:rPr>
                <w:rFonts w:eastAsiaTheme="minorEastAsia"/>
                <w:noProof/>
                <w:kern w:val="2"/>
                <w:sz w:val="24"/>
                <w:szCs w:val="24"/>
                <w:lang w:eastAsia="en-GB"/>
                <w14:ligatures w14:val="standardContextual"/>
              </w:rPr>
              <w:tab/>
            </w:r>
            <w:r w:rsidRPr="00A62376">
              <w:rPr>
                <w:rStyle w:val="Hyperlink"/>
                <w:noProof/>
              </w:rPr>
              <w:t>Top Achievements</w:t>
            </w:r>
            <w:r>
              <w:rPr>
                <w:noProof/>
                <w:webHidden/>
              </w:rPr>
              <w:tab/>
            </w:r>
            <w:r>
              <w:rPr>
                <w:noProof/>
                <w:webHidden/>
              </w:rPr>
              <w:fldChar w:fldCharType="begin"/>
            </w:r>
            <w:r>
              <w:rPr>
                <w:noProof/>
                <w:webHidden/>
              </w:rPr>
              <w:instrText xml:space="preserve"> PAGEREF _Toc216259240 \h </w:instrText>
            </w:r>
            <w:r>
              <w:rPr>
                <w:noProof/>
                <w:webHidden/>
              </w:rPr>
            </w:r>
            <w:r>
              <w:rPr>
                <w:noProof/>
                <w:webHidden/>
              </w:rPr>
              <w:fldChar w:fldCharType="separate"/>
            </w:r>
            <w:r>
              <w:rPr>
                <w:noProof/>
                <w:webHidden/>
              </w:rPr>
              <w:t>8</w:t>
            </w:r>
            <w:r>
              <w:rPr>
                <w:noProof/>
                <w:webHidden/>
              </w:rPr>
              <w:fldChar w:fldCharType="end"/>
            </w:r>
          </w:hyperlink>
        </w:p>
        <w:p w14:paraId="75C89D70" w14:textId="7258C5D4" w:rsidR="00414128" w:rsidRDefault="00414128">
          <w:pPr>
            <w:pStyle w:val="TOC1"/>
            <w:rPr>
              <w:rFonts w:eastAsiaTheme="minorEastAsia"/>
              <w:noProof/>
              <w:kern w:val="2"/>
              <w:sz w:val="24"/>
              <w:szCs w:val="24"/>
              <w:lang w:eastAsia="en-GB"/>
              <w14:ligatures w14:val="standardContextual"/>
            </w:rPr>
          </w:pPr>
          <w:hyperlink w:anchor="_Toc216259241" w:history="1">
            <w:r w:rsidRPr="00A62376">
              <w:rPr>
                <w:rStyle w:val="Hyperlink"/>
                <w:noProof/>
              </w:rPr>
              <w:t>7</w:t>
            </w:r>
            <w:r>
              <w:rPr>
                <w:rFonts w:eastAsiaTheme="minorEastAsia"/>
                <w:noProof/>
                <w:kern w:val="2"/>
                <w:sz w:val="24"/>
                <w:szCs w:val="24"/>
                <w:lang w:eastAsia="en-GB"/>
                <w14:ligatures w14:val="standardContextual"/>
              </w:rPr>
              <w:tab/>
            </w:r>
            <w:r w:rsidRPr="00A62376">
              <w:rPr>
                <w:rStyle w:val="Hyperlink"/>
                <w:noProof/>
              </w:rPr>
              <w:t>Consideration of Other Strategies</w:t>
            </w:r>
            <w:r>
              <w:rPr>
                <w:noProof/>
                <w:webHidden/>
              </w:rPr>
              <w:tab/>
            </w:r>
            <w:r>
              <w:rPr>
                <w:noProof/>
                <w:webHidden/>
              </w:rPr>
              <w:fldChar w:fldCharType="begin"/>
            </w:r>
            <w:r>
              <w:rPr>
                <w:noProof/>
                <w:webHidden/>
              </w:rPr>
              <w:instrText xml:space="preserve"> PAGEREF _Toc216259241 \h </w:instrText>
            </w:r>
            <w:r>
              <w:rPr>
                <w:noProof/>
                <w:webHidden/>
              </w:rPr>
            </w:r>
            <w:r>
              <w:rPr>
                <w:noProof/>
                <w:webHidden/>
              </w:rPr>
              <w:fldChar w:fldCharType="separate"/>
            </w:r>
            <w:r>
              <w:rPr>
                <w:noProof/>
                <w:webHidden/>
              </w:rPr>
              <w:t>9</w:t>
            </w:r>
            <w:r>
              <w:rPr>
                <w:noProof/>
                <w:webHidden/>
              </w:rPr>
              <w:fldChar w:fldCharType="end"/>
            </w:r>
          </w:hyperlink>
        </w:p>
        <w:p w14:paraId="2C4CCD66" w14:textId="6A532454" w:rsidR="00414128" w:rsidRDefault="00414128">
          <w:pPr>
            <w:pStyle w:val="TOC1"/>
            <w:rPr>
              <w:rFonts w:eastAsiaTheme="minorEastAsia"/>
              <w:noProof/>
              <w:kern w:val="2"/>
              <w:sz w:val="24"/>
              <w:szCs w:val="24"/>
              <w:lang w:eastAsia="en-GB"/>
              <w14:ligatures w14:val="standardContextual"/>
            </w:rPr>
          </w:pPr>
          <w:hyperlink w:anchor="_Toc216259242" w:history="1">
            <w:r w:rsidRPr="00A62376">
              <w:rPr>
                <w:rStyle w:val="Hyperlink"/>
                <w:noProof/>
              </w:rPr>
              <w:t>8</w:t>
            </w:r>
            <w:r>
              <w:rPr>
                <w:rFonts w:eastAsiaTheme="minorEastAsia"/>
                <w:noProof/>
                <w:kern w:val="2"/>
                <w:sz w:val="24"/>
                <w:szCs w:val="24"/>
                <w:lang w:eastAsia="en-GB"/>
                <w14:ligatures w14:val="standardContextual"/>
              </w:rPr>
              <w:tab/>
            </w:r>
            <w:r w:rsidRPr="00A62376">
              <w:rPr>
                <w:rStyle w:val="Hyperlink"/>
                <w:noProof/>
              </w:rPr>
              <w:t>How SDDC policies, objectives and actions have helped the environment</w:t>
            </w:r>
            <w:r>
              <w:rPr>
                <w:noProof/>
                <w:webHidden/>
              </w:rPr>
              <w:tab/>
            </w:r>
            <w:r>
              <w:rPr>
                <w:noProof/>
                <w:webHidden/>
              </w:rPr>
              <w:fldChar w:fldCharType="begin"/>
            </w:r>
            <w:r>
              <w:rPr>
                <w:noProof/>
                <w:webHidden/>
              </w:rPr>
              <w:instrText xml:space="preserve"> PAGEREF _Toc216259242 \h </w:instrText>
            </w:r>
            <w:r>
              <w:rPr>
                <w:noProof/>
                <w:webHidden/>
              </w:rPr>
            </w:r>
            <w:r>
              <w:rPr>
                <w:noProof/>
                <w:webHidden/>
              </w:rPr>
              <w:fldChar w:fldCharType="separate"/>
            </w:r>
            <w:r>
              <w:rPr>
                <w:noProof/>
                <w:webHidden/>
              </w:rPr>
              <w:t>10</w:t>
            </w:r>
            <w:r>
              <w:rPr>
                <w:noProof/>
                <w:webHidden/>
              </w:rPr>
              <w:fldChar w:fldCharType="end"/>
            </w:r>
          </w:hyperlink>
        </w:p>
        <w:p w14:paraId="19707CE0" w14:textId="774E5520" w:rsidR="00414128" w:rsidRDefault="00414128">
          <w:pPr>
            <w:pStyle w:val="TOC1"/>
            <w:rPr>
              <w:rFonts w:eastAsiaTheme="minorEastAsia"/>
              <w:noProof/>
              <w:kern w:val="2"/>
              <w:sz w:val="24"/>
              <w:szCs w:val="24"/>
              <w:lang w:eastAsia="en-GB"/>
              <w14:ligatures w14:val="standardContextual"/>
            </w:rPr>
          </w:pPr>
          <w:hyperlink w:anchor="_Toc216259243" w:history="1">
            <w:r w:rsidRPr="00A62376">
              <w:rPr>
                <w:rStyle w:val="Hyperlink"/>
                <w:noProof/>
              </w:rPr>
              <w:t>9</w:t>
            </w:r>
            <w:r>
              <w:rPr>
                <w:rFonts w:eastAsiaTheme="minorEastAsia"/>
                <w:noProof/>
                <w:kern w:val="2"/>
                <w:sz w:val="24"/>
                <w:szCs w:val="24"/>
                <w:lang w:eastAsia="en-GB"/>
                <w14:ligatures w14:val="standardContextual"/>
              </w:rPr>
              <w:tab/>
            </w:r>
            <w:r w:rsidRPr="00A62376">
              <w:rPr>
                <w:rStyle w:val="Hyperlink"/>
                <w:noProof/>
              </w:rPr>
              <w:t>Biodiversity Awareness &amp; Education</w:t>
            </w:r>
            <w:r>
              <w:rPr>
                <w:noProof/>
                <w:webHidden/>
              </w:rPr>
              <w:tab/>
            </w:r>
            <w:r>
              <w:rPr>
                <w:noProof/>
                <w:webHidden/>
              </w:rPr>
              <w:fldChar w:fldCharType="begin"/>
            </w:r>
            <w:r>
              <w:rPr>
                <w:noProof/>
                <w:webHidden/>
              </w:rPr>
              <w:instrText xml:space="preserve"> PAGEREF _Toc216259243 \h </w:instrText>
            </w:r>
            <w:r>
              <w:rPr>
                <w:noProof/>
                <w:webHidden/>
              </w:rPr>
            </w:r>
            <w:r>
              <w:rPr>
                <w:noProof/>
                <w:webHidden/>
              </w:rPr>
              <w:fldChar w:fldCharType="separate"/>
            </w:r>
            <w:r>
              <w:rPr>
                <w:noProof/>
                <w:webHidden/>
              </w:rPr>
              <w:t>12</w:t>
            </w:r>
            <w:r>
              <w:rPr>
                <w:noProof/>
                <w:webHidden/>
              </w:rPr>
              <w:fldChar w:fldCharType="end"/>
            </w:r>
          </w:hyperlink>
        </w:p>
        <w:p w14:paraId="0B736768" w14:textId="01C1EA49" w:rsidR="00414128" w:rsidRDefault="00414128">
          <w:pPr>
            <w:pStyle w:val="TOC1"/>
            <w:rPr>
              <w:rFonts w:eastAsiaTheme="minorEastAsia"/>
              <w:noProof/>
              <w:kern w:val="2"/>
              <w:sz w:val="24"/>
              <w:szCs w:val="24"/>
              <w:lang w:eastAsia="en-GB"/>
              <w14:ligatures w14:val="standardContextual"/>
            </w:rPr>
          </w:pPr>
          <w:hyperlink w:anchor="_Toc216259244" w:history="1">
            <w:r w:rsidRPr="00A62376">
              <w:rPr>
                <w:rStyle w:val="Hyperlink"/>
                <w:noProof/>
              </w:rPr>
              <w:t>10</w:t>
            </w:r>
            <w:r>
              <w:rPr>
                <w:rFonts w:eastAsiaTheme="minorEastAsia"/>
                <w:noProof/>
                <w:kern w:val="2"/>
                <w:sz w:val="24"/>
                <w:szCs w:val="24"/>
                <w:lang w:eastAsia="en-GB"/>
                <w14:ligatures w14:val="standardContextual"/>
              </w:rPr>
              <w:tab/>
            </w:r>
            <w:r w:rsidRPr="00A62376">
              <w:rPr>
                <w:rStyle w:val="Hyperlink"/>
                <w:noProof/>
              </w:rPr>
              <w:t>Monitoring &amp; Evaluation</w:t>
            </w:r>
            <w:r>
              <w:rPr>
                <w:noProof/>
                <w:webHidden/>
              </w:rPr>
              <w:tab/>
            </w:r>
            <w:r>
              <w:rPr>
                <w:noProof/>
                <w:webHidden/>
              </w:rPr>
              <w:fldChar w:fldCharType="begin"/>
            </w:r>
            <w:r>
              <w:rPr>
                <w:noProof/>
                <w:webHidden/>
              </w:rPr>
              <w:instrText xml:space="preserve"> PAGEREF _Toc216259244 \h </w:instrText>
            </w:r>
            <w:r>
              <w:rPr>
                <w:noProof/>
                <w:webHidden/>
              </w:rPr>
            </w:r>
            <w:r>
              <w:rPr>
                <w:noProof/>
                <w:webHidden/>
              </w:rPr>
              <w:fldChar w:fldCharType="separate"/>
            </w:r>
            <w:r>
              <w:rPr>
                <w:noProof/>
                <w:webHidden/>
              </w:rPr>
              <w:t>13</w:t>
            </w:r>
            <w:r>
              <w:rPr>
                <w:noProof/>
                <w:webHidden/>
              </w:rPr>
              <w:fldChar w:fldCharType="end"/>
            </w:r>
          </w:hyperlink>
        </w:p>
        <w:p w14:paraId="6552C5F0" w14:textId="160698ED" w:rsidR="00414128" w:rsidRDefault="00414128">
          <w:pPr>
            <w:pStyle w:val="TOC1"/>
            <w:rPr>
              <w:rFonts w:eastAsiaTheme="minorEastAsia"/>
              <w:noProof/>
              <w:kern w:val="2"/>
              <w:sz w:val="24"/>
              <w:szCs w:val="24"/>
              <w:lang w:eastAsia="en-GB"/>
              <w14:ligatures w14:val="standardContextual"/>
            </w:rPr>
          </w:pPr>
          <w:hyperlink w:anchor="_Toc216259245" w:history="1">
            <w:r w:rsidRPr="00A62376">
              <w:rPr>
                <w:rStyle w:val="Hyperlink"/>
                <w:noProof/>
              </w:rPr>
              <w:t>11</w:t>
            </w:r>
            <w:r>
              <w:rPr>
                <w:rFonts w:eastAsiaTheme="minorEastAsia"/>
                <w:noProof/>
                <w:kern w:val="2"/>
                <w:sz w:val="24"/>
                <w:szCs w:val="24"/>
                <w:lang w:eastAsia="en-GB"/>
                <w14:ligatures w14:val="standardContextual"/>
              </w:rPr>
              <w:tab/>
            </w:r>
            <w:r w:rsidRPr="00A62376">
              <w:rPr>
                <w:rStyle w:val="Hyperlink"/>
                <w:noProof/>
              </w:rPr>
              <w:t>Biodiversity Highlights &amp; Challenges</w:t>
            </w:r>
            <w:r>
              <w:rPr>
                <w:noProof/>
                <w:webHidden/>
              </w:rPr>
              <w:tab/>
            </w:r>
            <w:r>
              <w:rPr>
                <w:noProof/>
                <w:webHidden/>
              </w:rPr>
              <w:fldChar w:fldCharType="begin"/>
            </w:r>
            <w:r>
              <w:rPr>
                <w:noProof/>
                <w:webHidden/>
              </w:rPr>
              <w:instrText xml:space="preserve"> PAGEREF _Toc216259245 \h </w:instrText>
            </w:r>
            <w:r>
              <w:rPr>
                <w:noProof/>
                <w:webHidden/>
              </w:rPr>
            </w:r>
            <w:r>
              <w:rPr>
                <w:noProof/>
                <w:webHidden/>
              </w:rPr>
              <w:fldChar w:fldCharType="separate"/>
            </w:r>
            <w:r>
              <w:rPr>
                <w:noProof/>
                <w:webHidden/>
              </w:rPr>
              <w:t>15</w:t>
            </w:r>
            <w:r>
              <w:rPr>
                <w:noProof/>
                <w:webHidden/>
              </w:rPr>
              <w:fldChar w:fldCharType="end"/>
            </w:r>
          </w:hyperlink>
        </w:p>
        <w:p w14:paraId="7583FDEE" w14:textId="33807B21" w:rsidR="00876DB0" w:rsidRDefault="00876DB0">
          <w:r>
            <w:rPr>
              <w:b/>
              <w:bCs/>
              <w:noProof/>
            </w:rPr>
            <w:fldChar w:fldCharType="end"/>
          </w:r>
        </w:p>
      </w:sdtContent>
    </w:sdt>
    <w:p w14:paraId="63B17C95" w14:textId="77777777" w:rsidR="00E45FAA" w:rsidRDefault="00A731DB" w:rsidP="00A731DB">
      <w:pPr>
        <w:pStyle w:val="Heading1"/>
      </w:pPr>
      <w:bookmarkStart w:id="0" w:name="_Toc216259232"/>
      <w:r>
        <w:t>Version Control</w:t>
      </w:r>
      <w:bookmarkEnd w:id="0"/>
    </w:p>
    <w:tbl>
      <w:tblPr>
        <w:tblStyle w:val="LightList-Accent1"/>
        <w:tblW w:w="0" w:type="auto"/>
        <w:tblInd w:w="108" w:type="dxa"/>
        <w:tblLook w:val="0020" w:firstRow="1" w:lastRow="0" w:firstColumn="0" w:lastColumn="0" w:noHBand="0" w:noVBand="0"/>
      </w:tblPr>
      <w:tblGrid>
        <w:gridCol w:w="1411"/>
        <w:gridCol w:w="4932"/>
        <w:gridCol w:w="3275"/>
      </w:tblGrid>
      <w:tr w:rsidR="00A731DB" w14:paraId="3AC0750A" w14:textId="77777777" w:rsidTr="19F7AE6F">
        <w:trPr>
          <w:cnfStyle w:val="100000000000" w:firstRow="1" w:lastRow="0" w:firstColumn="0" w:lastColumn="0" w:oddVBand="0" w:evenVBand="0" w:oddHBand="0" w:evenHBand="0" w:firstRowFirstColumn="0" w:firstRowLastColumn="0" w:lastRowFirstColumn="0" w:lastRowLastColumn="0"/>
          <w:trHeight w:val="264"/>
        </w:trPr>
        <w:tc>
          <w:tcPr>
            <w:cnfStyle w:val="000010000000" w:firstRow="0" w:lastRow="0" w:firstColumn="0" w:lastColumn="0" w:oddVBand="1" w:evenVBand="0" w:oddHBand="0" w:evenHBand="0" w:firstRowFirstColumn="0" w:firstRowLastColumn="0" w:lastRowFirstColumn="0" w:lastRowLastColumn="0"/>
            <w:tcW w:w="1420" w:type="dxa"/>
            <w:tcBorders>
              <w:top w:val="none" w:sz="0" w:space="0" w:color="auto"/>
              <w:left w:val="none" w:sz="0" w:space="0" w:color="auto"/>
              <w:bottom w:val="nil"/>
              <w:right w:val="none" w:sz="0" w:space="0" w:color="auto"/>
            </w:tcBorders>
          </w:tcPr>
          <w:p w14:paraId="2B055A57" w14:textId="77777777" w:rsidR="00A731DB" w:rsidRDefault="00A731DB" w:rsidP="00A731DB">
            <w:pPr>
              <w:jc w:val="center"/>
            </w:pPr>
            <w:r>
              <w:t>Version</w:t>
            </w:r>
          </w:p>
        </w:tc>
        <w:tc>
          <w:tcPr>
            <w:tcW w:w="5015" w:type="dxa"/>
            <w:tcBorders>
              <w:bottom w:val="nil"/>
            </w:tcBorders>
          </w:tcPr>
          <w:p w14:paraId="076778E7" w14:textId="77777777" w:rsidR="00A731DB" w:rsidRDefault="00A731DB" w:rsidP="00A731DB">
            <w:pPr>
              <w:jc w:val="center"/>
              <w:cnfStyle w:val="100000000000" w:firstRow="1" w:lastRow="0" w:firstColumn="0" w:lastColumn="0" w:oddVBand="0" w:evenVBand="0" w:oddHBand="0" w:evenHBand="0" w:firstRowFirstColumn="0" w:firstRowLastColumn="0" w:lastRowFirstColumn="0" w:lastRowLastColumn="0"/>
            </w:pPr>
            <w:r>
              <w:t>Description of version</w:t>
            </w:r>
          </w:p>
        </w:tc>
        <w:tc>
          <w:tcPr>
            <w:cnfStyle w:val="000010000000" w:firstRow="0" w:lastRow="0" w:firstColumn="0" w:lastColumn="0" w:oddVBand="1" w:evenVBand="0" w:oddHBand="0" w:evenHBand="0" w:firstRowFirstColumn="0" w:firstRowLastColumn="0" w:lastRowFirstColumn="0" w:lastRowLastColumn="0"/>
            <w:tcW w:w="3326" w:type="dxa"/>
            <w:tcBorders>
              <w:top w:val="none" w:sz="0" w:space="0" w:color="auto"/>
              <w:left w:val="none" w:sz="0" w:space="0" w:color="auto"/>
              <w:bottom w:val="nil"/>
              <w:right w:val="none" w:sz="0" w:space="0" w:color="auto"/>
            </w:tcBorders>
          </w:tcPr>
          <w:p w14:paraId="2795D95C" w14:textId="77777777" w:rsidR="00A731DB" w:rsidRDefault="00A731DB" w:rsidP="00A731DB">
            <w:pPr>
              <w:jc w:val="center"/>
            </w:pPr>
            <w:r>
              <w:t>Effective Date</w:t>
            </w:r>
          </w:p>
        </w:tc>
      </w:tr>
      <w:tr w:rsidR="00A731DB" w14:paraId="5CB54587" w14:textId="77777777" w:rsidTr="19F7AE6F">
        <w:trPr>
          <w:cnfStyle w:val="000000100000" w:firstRow="0" w:lastRow="0" w:firstColumn="0" w:lastColumn="0" w:oddVBand="0" w:evenVBand="0" w:oddHBand="1" w:evenHBand="0" w:firstRowFirstColumn="0" w:firstRowLastColumn="0" w:lastRowFirstColumn="0" w:lastRowLastColumn="0"/>
          <w:trHeight w:val="264"/>
        </w:trPr>
        <w:tc>
          <w:tcPr>
            <w:cnfStyle w:val="000010000000" w:firstRow="0" w:lastRow="0" w:firstColumn="0" w:lastColumn="0" w:oddVBand="1" w:evenVBand="0" w:oddHBand="0" w:evenHBand="0" w:firstRowFirstColumn="0" w:firstRowLastColumn="0" w:lastRowFirstColumn="0" w:lastRowLastColumn="0"/>
            <w:tcW w:w="1420" w:type="dxa"/>
            <w:tcBorders>
              <w:top w:val="nil"/>
              <w:left w:val="none" w:sz="0" w:space="0" w:color="auto"/>
            </w:tcBorders>
          </w:tcPr>
          <w:p w14:paraId="0456D994" w14:textId="5BA56540" w:rsidR="00A731DB" w:rsidRDefault="00A46059">
            <w:r>
              <w:t>DRAFT</w:t>
            </w:r>
          </w:p>
        </w:tc>
        <w:tc>
          <w:tcPr>
            <w:tcW w:w="5015" w:type="dxa"/>
            <w:tcBorders>
              <w:top w:val="nil"/>
              <w:left w:val="single" w:sz="8" w:space="0" w:color="2D0054" w:themeColor="accent1"/>
              <w:right w:val="single" w:sz="8" w:space="0" w:color="2D0054" w:themeColor="accent1"/>
            </w:tcBorders>
          </w:tcPr>
          <w:p w14:paraId="12E5A72F" w14:textId="700F4CAF" w:rsidR="00A731DB" w:rsidRDefault="00A731DB">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326" w:type="dxa"/>
            <w:tcBorders>
              <w:top w:val="nil"/>
              <w:right w:val="none" w:sz="0" w:space="0" w:color="auto"/>
            </w:tcBorders>
          </w:tcPr>
          <w:p w14:paraId="0F4B7431" w14:textId="33139CAF" w:rsidR="00A731DB" w:rsidRDefault="00A731DB"/>
        </w:tc>
      </w:tr>
      <w:tr w:rsidR="00A731DB" w14:paraId="1B3F5555" w14:textId="77777777" w:rsidTr="19F7AE6F">
        <w:trPr>
          <w:trHeight w:val="280"/>
        </w:trPr>
        <w:tc>
          <w:tcPr>
            <w:cnfStyle w:val="000010000000" w:firstRow="0" w:lastRow="0" w:firstColumn="0" w:lastColumn="0" w:oddVBand="1" w:evenVBand="0" w:oddHBand="0" w:evenHBand="0" w:firstRowFirstColumn="0" w:firstRowLastColumn="0" w:lastRowFirstColumn="0" w:lastRowLastColumn="0"/>
            <w:tcW w:w="1420" w:type="dxa"/>
            <w:tcBorders>
              <w:top w:val="single" w:sz="8" w:space="0" w:color="2D0054" w:themeColor="accent1"/>
              <w:left w:val="none" w:sz="0" w:space="0" w:color="auto"/>
              <w:bottom w:val="single" w:sz="8" w:space="0" w:color="2D0054" w:themeColor="accent1"/>
            </w:tcBorders>
          </w:tcPr>
          <w:p w14:paraId="3139420E" w14:textId="123E2D08" w:rsidR="00A731DB" w:rsidRDefault="00A731DB"/>
        </w:tc>
        <w:tc>
          <w:tcPr>
            <w:tcW w:w="5015" w:type="dxa"/>
            <w:tcBorders>
              <w:top w:val="single" w:sz="8" w:space="0" w:color="2D0054" w:themeColor="accent1"/>
              <w:left w:val="single" w:sz="8" w:space="0" w:color="2D0054" w:themeColor="accent1"/>
              <w:bottom w:val="single" w:sz="8" w:space="0" w:color="2D0054" w:themeColor="accent1"/>
              <w:right w:val="single" w:sz="8" w:space="0" w:color="2D0054" w:themeColor="accent1"/>
            </w:tcBorders>
          </w:tcPr>
          <w:p w14:paraId="7CA7F025" w14:textId="4E2DCF10" w:rsidR="00A731DB" w:rsidRDefault="00A731DB">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326" w:type="dxa"/>
            <w:tcBorders>
              <w:top w:val="single" w:sz="8" w:space="0" w:color="2D0054" w:themeColor="accent1"/>
              <w:bottom w:val="single" w:sz="8" w:space="0" w:color="2D0054" w:themeColor="accent1"/>
              <w:right w:val="none" w:sz="0" w:space="0" w:color="auto"/>
            </w:tcBorders>
          </w:tcPr>
          <w:p w14:paraId="51B4AC35" w14:textId="68C7DDF1" w:rsidR="00A731DB" w:rsidRDefault="00A731DB"/>
        </w:tc>
      </w:tr>
      <w:tr w:rsidR="0078380E" w14:paraId="049D935D" w14:textId="77777777" w:rsidTr="19F7AE6F">
        <w:trPr>
          <w:cnfStyle w:val="000000100000" w:firstRow="0" w:lastRow="0" w:firstColumn="0" w:lastColumn="0" w:oddVBand="0" w:evenVBand="0" w:oddHBand="1" w:evenHBand="0" w:firstRowFirstColumn="0" w:firstRowLastColumn="0" w:lastRowFirstColumn="0" w:lastRowLastColumn="0"/>
          <w:trHeight w:val="280"/>
        </w:trPr>
        <w:tc>
          <w:tcPr>
            <w:cnfStyle w:val="000010000000" w:firstRow="0" w:lastRow="0" w:firstColumn="0" w:lastColumn="0" w:oddVBand="1" w:evenVBand="0" w:oddHBand="0" w:evenHBand="0" w:firstRowFirstColumn="0" w:firstRowLastColumn="0" w:lastRowFirstColumn="0" w:lastRowLastColumn="0"/>
            <w:tcW w:w="1420" w:type="dxa"/>
          </w:tcPr>
          <w:p w14:paraId="4609A664" w14:textId="3BBEDA7C" w:rsidR="0078380E" w:rsidRDefault="0078380E"/>
        </w:tc>
        <w:tc>
          <w:tcPr>
            <w:tcW w:w="5015" w:type="dxa"/>
            <w:tcBorders>
              <w:left w:val="single" w:sz="8" w:space="0" w:color="2D0054" w:themeColor="accent1"/>
              <w:right w:val="single" w:sz="8" w:space="0" w:color="2D0054" w:themeColor="accent1"/>
            </w:tcBorders>
          </w:tcPr>
          <w:p w14:paraId="7B412B35" w14:textId="45A90F5B" w:rsidR="0078380E" w:rsidRDefault="0078380E">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326" w:type="dxa"/>
          </w:tcPr>
          <w:p w14:paraId="0E238B24" w14:textId="0B7FECB8" w:rsidR="0078380E" w:rsidRDefault="0078380E"/>
        </w:tc>
      </w:tr>
    </w:tbl>
    <w:p w14:paraId="67B95CD1" w14:textId="77777777" w:rsidR="00876DB0" w:rsidRDefault="00A731DB" w:rsidP="00A731DB">
      <w:pPr>
        <w:pStyle w:val="Heading1"/>
      </w:pPr>
      <w:bookmarkStart w:id="1" w:name="_Toc216259233"/>
      <w:r>
        <w:t>Approvals</w:t>
      </w:r>
      <w:bookmarkEnd w:id="1"/>
    </w:p>
    <w:tbl>
      <w:tblPr>
        <w:tblStyle w:val="LightList-Accent1"/>
        <w:tblW w:w="0" w:type="auto"/>
        <w:tblInd w:w="108" w:type="dxa"/>
        <w:tblLook w:val="0020" w:firstRow="1" w:lastRow="0" w:firstColumn="0" w:lastColumn="0" w:noHBand="0" w:noVBand="0"/>
      </w:tblPr>
      <w:tblGrid>
        <w:gridCol w:w="7774"/>
        <w:gridCol w:w="1844"/>
      </w:tblGrid>
      <w:tr w:rsidR="00A731DB" w14:paraId="6EF7D966" w14:textId="77777777" w:rsidTr="005A3CF8">
        <w:trPr>
          <w:cnfStyle w:val="100000000000" w:firstRow="1" w:lastRow="0" w:firstColumn="0" w:lastColumn="0" w:oddVBand="0" w:evenVBand="0" w:oddHBand="0" w:evenHBand="0" w:firstRowFirstColumn="0" w:firstRowLastColumn="0" w:lastRowFirstColumn="0" w:lastRowLastColumn="0"/>
          <w:trHeight w:val="265"/>
        </w:trPr>
        <w:tc>
          <w:tcPr>
            <w:cnfStyle w:val="000010000000" w:firstRow="0" w:lastRow="0" w:firstColumn="0" w:lastColumn="0" w:oddVBand="1" w:evenVBand="0" w:oddHBand="0" w:evenHBand="0" w:firstRowFirstColumn="0" w:firstRowLastColumn="0" w:lastRowFirstColumn="0" w:lastRowLastColumn="0"/>
            <w:tcW w:w="7907" w:type="dxa"/>
            <w:tcBorders>
              <w:top w:val="none" w:sz="0" w:space="0" w:color="auto"/>
              <w:left w:val="none" w:sz="0" w:space="0" w:color="auto"/>
              <w:bottom w:val="nil"/>
              <w:right w:val="none" w:sz="0" w:space="0" w:color="auto"/>
            </w:tcBorders>
          </w:tcPr>
          <w:p w14:paraId="4D2AADF1" w14:textId="77777777" w:rsidR="00A731DB" w:rsidRDefault="00A731DB" w:rsidP="00BE002F">
            <w:pPr>
              <w:jc w:val="center"/>
            </w:pPr>
            <w:r>
              <w:t>Approved by</w:t>
            </w:r>
          </w:p>
        </w:tc>
        <w:tc>
          <w:tcPr>
            <w:tcW w:w="1867" w:type="dxa"/>
            <w:tcBorders>
              <w:bottom w:val="nil"/>
            </w:tcBorders>
          </w:tcPr>
          <w:p w14:paraId="795FE597" w14:textId="77777777" w:rsidR="00A731DB" w:rsidRDefault="00A731DB" w:rsidP="00BE002F">
            <w:pPr>
              <w:jc w:val="center"/>
              <w:cnfStyle w:val="100000000000" w:firstRow="1" w:lastRow="0" w:firstColumn="0" w:lastColumn="0" w:oddVBand="0" w:evenVBand="0" w:oddHBand="0" w:evenHBand="0" w:firstRowFirstColumn="0" w:firstRowLastColumn="0" w:lastRowFirstColumn="0" w:lastRowLastColumn="0"/>
            </w:pPr>
            <w:r>
              <w:t>Date</w:t>
            </w:r>
          </w:p>
        </w:tc>
      </w:tr>
      <w:tr w:rsidR="00A731DB" w14:paraId="24FD0B87" w14:textId="77777777" w:rsidTr="005A3CF8">
        <w:trPr>
          <w:cnfStyle w:val="000000100000" w:firstRow="0" w:lastRow="0" w:firstColumn="0" w:lastColumn="0" w:oddVBand="0" w:evenVBand="0" w:oddHBand="1" w:evenHBand="0" w:firstRowFirstColumn="0" w:firstRowLastColumn="0" w:lastRowFirstColumn="0" w:lastRowLastColumn="0"/>
          <w:trHeight w:val="280"/>
        </w:trPr>
        <w:tc>
          <w:tcPr>
            <w:cnfStyle w:val="000010000000" w:firstRow="0" w:lastRow="0" w:firstColumn="0" w:lastColumn="0" w:oddVBand="1" w:evenVBand="0" w:oddHBand="0" w:evenHBand="0" w:firstRowFirstColumn="0" w:firstRowLastColumn="0" w:lastRowFirstColumn="0" w:lastRowLastColumn="0"/>
            <w:tcW w:w="7907" w:type="dxa"/>
            <w:tcBorders>
              <w:top w:val="nil"/>
              <w:left w:val="none" w:sz="0" w:space="0" w:color="auto"/>
            </w:tcBorders>
          </w:tcPr>
          <w:p w14:paraId="355C0E86" w14:textId="77777777" w:rsidR="00A731DB" w:rsidRDefault="00A731DB" w:rsidP="00BE002F"/>
        </w:tc>
        <w:tc>
          <w:tcPr>
            <w:tcW w:w="1867" w:type="dxa"/>
            <w:tcBorders>
              <w:top w:val="nil"/>
              <w:left w:val="single" w:sz="8" w:space="0" w:color="2D0054" w:themeColor="accent1"/>
              <w:right w:val="none" w:sz="0" w:space="0" w:color="auto"/>
            </w:tcBorders>
          </w:tcPr>
          <w:p w14:paraId="27A5F6E2" w14:textId="77777777" w:rsidR="00A731DB" w:rsidRDefault="00A731DB" w:rsidP="00BE002F">
            <w:pPr>
              <w:cnfStyle w:val="000000100000" w:firstRow="0" w:lastRow="0" w:firstColumn="0" w:lastColumn="0" w:oddVBand="0" w:evenVBand="0" w:oddHBand="1" w:evenHBand="0" w:firstRowFirstColumn="0" w:firstRowLastColumn="0" w:lastRowFirstColumn="0" w:lastRowLastColumn="0"/>
            </w:pPr>
          </w:p>
        </w:tc>
      </w:tr>
      <w:tr w:rsidR="00A731DB" w14:paraId="5F76651F" w14:textId="77777777" w:rsidTr="005A3CF8">
        <w:trPr>
          <w:trHeight w:val="265"/>
        </w:trPr>
        <w:tc>
          <w:tcPr>
            <w:cnfStyle w:val="000010000000" w:firstRow="0" w:lastRow="0" w:firstColumn="0" w:lastColumn="0" w:oddVBand="1" w:evenVBand="0" w:oddHBand="0" w:evenHBand="0" w:firstRowFirstColumn="0" w:firstRowLastColumn="0" w:lastRowFirstColumn="0" w:lastRowLastColumn="0"/>
            <w:tcW w:w="7907" w:type="dxa"/>
            <w:tcBorders>
              <w:top w:val="single" w:sz="8" w:space="0" w:color="2D0054" w:themeColor="accent1"/>
              <w:left w:val="none" w:sz="0" w:space="0" w:color="auto"/>
            </w:tcBorders>
          </w:tcPr>
          <w:p w14:paraId="1AB00234" w14:textId="77777777" w:rsidR="00A731DB" w:rsidRDefault="00A731DB" w:rsidP="00BE002F"/>
        </w:tc>
        <w:tc>
          <w:tcPr>
            <w:tcW w:w="1867" w:type="dxa"/>
            <w:tcBorders>
              <w:top w:val="single" w:sz="8" w:space="0" w:color="2D0054" w:themeColor="accent1"/>
              <w:left w:val="single" w:sz="8" w:space="0" w:color="2D0054" w:themeColor="accent1"/>
              <w:bottom w:val="single" w:sz="8" w:space="0" w:color="2D0054" w:themeColor="accent1"/>
            </w:tcBorders>
          </w:tcPr>
          <w:p w14:paraId="6D51354B" w14:textId="77777777" w:rsidR="00A731DB" w:rsidRDefault="00A731DB" w:rsidP="00BE002F">
            <w:pPr>
              <w:cnfStyle w:val="000000000000" w:firstRow="0" w:lastRow="0" w:firstColumn="0" w:lastColumn="0" w:oddVBand="0" w:evenVBand="0" w:oddHBand="0" w:evenHBand="0" w:firstRowFirstColumn="0" w:firstRowLastColumn="0" w:lastRowFirstColumn="0" w:lastRowLastColumn="0"/>
            </w:pPr>
          </w:p>
        </w:tc>
      </w:tr>
    </w:tbl>
    <w:p w14:paraId="5C123F3C" w14:textId="77777777" w:rsidR="00A731DB" w:rsidRDefault="00A731DB" w:rsidP="00A731DB">
      <w:pPr>
        <w:pStyle w:val="Heading1"/>
      </w:pPr>
      <w:bookmarkStart w:id="2" w:name="_Toc216259234"/>
      <w:r>
        <w:t>Associated Documentation</w:t>
      </w:r>
      <w:bookmarkEnd w:id="2"/>
    </w:p>
    <w:tbl>
      <w:tblPr>
        <w:tblStyle w:val="LightList-Accent1"/>
        <w:tblW w:w="0" w:type="auto"/>
        <w:tblInd w:w="108" w:type="dxa"/>
        <w:tblLook w:val="0020" w:firstRow="1" w:lastRow="0" w:firstColumn="0" w:lastColumn="0" w:noHBand="0" w:noVBand="0"/>
      </w:tblPr>
      <w:tblGrid>
        <w:gridCol w:w="4757"/>
        <w:gridCol w:w="4861"/>
      </w:tblGrid>
      <w:tr w:rsidR="006B6F39" w14:paraId="4FC1C511" w14:textId="77777777" w:rsidTr="005A3CF8">
        <w:trPr>
          <w:cnfStyle w:val="100000000000" w:firstRow="1" w:lastRow="0" w:firstColumn="0" w:lastColumn="0" w:oddVBand="0" w:evenVBand="0" w:oddHBand="0"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4820" w:type="dxa"/>
            <w:tcBorders>
              <w:top w:val="none" w:sz="0" w:space="0" w:color="auto"/>
              <w:left w:val="none" w:sz="0" w:space="0" w:color="auto"/>
              <w:bottom w:val="nil"/>
              <w:right w:val="none" w:sz="0" w:space="0" w:color="auto"/>
            </w:tcBorders>
          </w:tcPr>
          <w:p w14:paraId="4310CCFE" w14:textId="77777777" w:rsidR="006B6F39" w:rsidRDefault="006B6F39" w:rsidP="00BE002F">
            <w:pPr>
              <w:jc w:val="center"/>
            </w:pPr>
            <w:r>
              <w:t>Description of Documentation</w:t>
            </w:r>
          </w:p>
        </w:tc>
        <w:tc>
          <w:tcPr>
            <w:tcW w:w="4961" w:type="dxa"/>
            <w:tcBorders>
              <w:bottom w:val="nil"/>
            </w:tcBorders>
          </w:tcPr>
          <w:p w14:paraId="76951133" w14:textId="77777777" w:rsidR="006B6F39" w:rsidRDefault="006B6F39" w:rsidP="00BE002F">
            <w:pPr>
              <w:jc w:val="center"/>
              <w:cnfStyle w:val="100000000000" w:firstRow="1" w:lastRow="0" w:firstColumn="0" w:lastColumn="0" w:oddVBand="0" w:evenVBand="0" w:oddHBand="0" w:evenHBand="0" w:firstRowFirstColumn="0" w:firstRowLastColumn="0" w:lastRowFirstColumn="0" w:lastRowLastColumn="0"/>
            </w:pPr>
          </w:p>
        </w:tc>
      </w:tr>
      <w:tr w:rsidR="006B6F39" w14:paraId="211D4DC5" w14:textId="77777777" w:rsidTr="005A3CF8">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4820" w:type="dxa"/>
            <w:tcBorders>
              <w:top w:val="nil"/>
              <w:left w:val="none" w:sz="0" w:space="0" w:color="auto"/>
            </w:tcBorders>
          </w:tcPr>
          <w:p w14:paraId="57B1FA9C" w14:textId="23D0AADA" w:rsidR="006B6F39" w:rsidRPr="009D3838" w:rsidRDefault="006B6F39" w:rsidP="00BE002F">
            <w:pPr>
              <w:rPr>
                <w:sz w:val="20"/>
              </w:rPr>
            </w:pPr>
          </w:p>
        </w:tc>
        <w:tc>
          <w:tcPr>
            <w:tcW w:w="4961" w:type="dxa"/>
            <w:tcBorders>
              <w:top w:val="nil"/>
              <w:left w:val="single" w:sz="8" w:space="0" w:color="2D0054" w:themeColor="accent1"/>
              <w:right w:val="none" w:sz="0" w:space="0" w:color="auto"/>
            </w:tcBorders>
          </w:tcPr>
          <w:p w14:paraId="61E81FEA" w14:textId="77777777" w:rsidR="006B6F39" w:rsidRPr="009D3838" w:rsidRDefault="006B6F39" w:rsidP="00BE002F">
            <w:pPr>
              <w:cnfStyle w:val="000000100000" w:firstRow="0" w:lastRow="0" w:firstColumn="0" w:lastColumn="0" w:oddVBand="0" w:evenVBand="0" w:oddHBand="1" w:evenHBand="0" w:firstRowFirstColumn="0" w:firstRowLastColumn="0" w:lastRowFirstColumn="0" w:lastRowLastColumn="0"/>
              <w:rPr>
                <w:sz w:val="20"/>
              </w:rPr>
            </w:pPr>
          </w:p>
        </w:tc>
      </w:tr>
      <w:tr w:rsidR="006B6F39" w14:paraId="3A691F4B" w14:textId="77777777" w:rsidTr="005A3CF8">
        <w:trPr>
          <w:trHeight w:val="275"/>
        </w:trPr>
        <w:tc>
          <w:tcPr>
            <w:cnfStyle w:val="000010000000" w:firstRow="0" w:lastRow="0" w:firstColumn="0" w:lastColumn="0" w:oddVBand="1" w:evenVBand="0" w:oddHBand="0" w:evenHBand="0" w:firstRowFirstColumn="0" w:firstRowLastColumn="0" w:lastRowFirstColumn="0" w:lastRowLastColumn="0"/>
            <w:tcW w:w="4820" w:type="dxa"/>
            <w:tcBorders>
              <w:top w:val="single" w:sz="8" w:space="0" w:color="2D0054" w:themeColor="accent1"/>
              <w:left w:val="none" w:sz="0" w:space="0" w:color="auto"/>
              <w:bottom w:val="single" w:sz="8" w:space="0" w:color="2D0054" w:themeColor="accent1"/>
            </w:tcBorders>
          </w:tcPr>
          <w:p w14:paraId="7C3D3868" w14:textId="7192F55F" w:rsidR="006B6F39" w:rsidRPr="009D3838" w:rsidRDefault="006B6F39" w:rsidP="00BE002F">
            <w:pPr>
              <w:rPr>
                <w:sz w:val="20"/>
              </w:rPr>
            </w:pPr>
          </w:p>
        </w:tc>
        <w:tc>
          <w:tcPr>
            <w:tcW w:w="4961" w:type="dxa"/>
            <w:tcBorders>
              <w:top w:val="single" w:sz="8" w:space="0" w:color="2D0054" w:themeColor="accent1"/>
              <w:left w:val="single" w:sz="8" w:space="0" w:color="2D0054" w:themeColor="accent1"/>
              <w:bottom w:val="single" w:sz="8" w:space="0" w:color="2D0054" w:themeColor="accent1"/>
            </w:tcBorders>
          </w:tcPr>
          <w:p w14:paraId="53A9F6AD" w14:textId="77777777" w:rsidR="006B6F39" w:rsidRPr="009D3838" w:rsidRDefault="006B6F39" w:rsidP="00BE002F">
            <w:pPr>
              <w:cnfStyle w:val="000000000000" w:firstRow="0" w:lastRow="0" w:firstColumn="0" w:lastColumn="0" w:oddVBand="0" w:evenVBand="0" w:oddHBand="0" w:evenHBand="0" w:firstRowFirstColumn="0" w:firstRowLastColumn="0" w:lastRowFirstColumn="0" w:lastRowLastColumn="0"/>
              <w:rPr>
                <w:sz w:val="20"/>
              </w:rPr>
            </w:pPr>
          </w:p>
        </w:tc>
      </w:tr>
      <w:tr w:rsidR="001977A1" w14:paraId="2E7DE484" w14:textId="77777777" w:rsidTr="005A3CF8">
        <w:trPr>
          <w:cnfStyle w:val="000000100000" w:firstRow="0" w:lastRow="0" w:firstColumn="0" w:lastColumn="0" w:oddVBand="0" w:evenVBand="0" w:oddHBand="1" w:evenHBand="0" w:firstRowFirstColumn="0" w:firstRowLastColumn="0" w:lastRowFirstColumn="0" w:lastRowLastColumn="0"/>
          <w:trHeight w:val="275"/>
        </w:trPr>
        <w:tc>
          <w:tcPr>
            <w:cnfStyle w:val="000010000000" w:firstRow="0" w:lastRow="0" w:firstColumn="0" w:lastColumn="0" w:oddVBand="1" w:evenVBand="0" w:oddHBand="0" w:evenHBand="0" w:firstRowFirstColumn="0" w:firstRowLastColumn="0" w:lastRowFirstColumn="0" w:lastRowLastColumn="0"/>
            <w:tcW w:w="4820" w:type="dxa"/>
            <w:tcBorders>
              <w:left w:val="none" w:sz="0" w:space="0" w:color="auto"/>
            </w:tcBorders>
          </w:tcPr>
          <w:p w14:paraId="6DE24EEB" w14:textId="2E2F8F23" w:rsidR="001977A1" w:rsidRPr="009D3838" w:rsidRDefault="001977A1" w:rsidP="00BE002F">
            <w:pPr>
              <w:rPr>
                <w:sz w:val="20"/>
              </w:rPr>
            </w:pPr>
          </w:p>
        </w:tc>
        <w:tc>
          <w:tcPr>
            <w:tcW w:w="4961" w:type="dxa"/>
            <w:tcBorders>
              <w:left w:val="single" w:sz="8" w:space="0" w:color="2D0054" w:themeColor="accent1"/>
              <w:right w:val="none" w:sz="0" w:space="0" w:color="auto"/>
            </w:tcBorders>
          </w:tcPr>
          <w:p w14:paraId="1DFA82F0" w14:textId="77777777" w:rsidR="001977A1" w:rsidRPr="009D3838" w:rsidRDefault="001977A1" w:rsidP="00BE002F">
            <w:pPr>
              <w:cnfStyle w:val="000000100000" w:firstRow="0" w:lastRow="0" w:firstColumn="0" w:lastColumn="0" w:oddVBand="0" w:evenVBand="0" w:oddHBand="1" w:evenHBand="0" w:firstRowFirstColumn="0" w:firstRowLastColumn="0" w:lastRowFirstColumn="0" w:lastRowLastColumn="0"/>
              <w:rPr>
                <w:sz w:val="20"/>
              </w:rPr>
            </w:pPr>
          </w:p>
        </w:tc>
      </w:tr>
      <w:tr w:rsidR="001977A1" w14:paraId="02CCE285" w14:textId="77777777" w:rsidTr="005A3CF8">
        <w:trPr>
          <w:trHeight w:val="275"/>
        </w:trPr>
        <w:tc>
          <w:tcPr>
            <w:cnfStyle w:val="000010000000" w:firstRow="0" w:lastRow="0" w:firstColumn="0" w:lastColumn="0" w:oddVBand="1" w:evenVBand="0" w:oddHBand="0" w:evenHBand="0" w:firstRowFirstColumn="0" w:firstRowLastColumn="0" w:lastRowFirstColumn="0" w:lastRowLastColumn="0"/>
            <w:tcW w:w="4820" w:type="dxa"/>
            <w:tcBorders>
              <w:top w:val="single" w:sz="8" w:space="0" w:color="2D0054" w:themeColor="accent1"/>
              <w:left w:val="none" w:sz="0" w:space="0" w:color="auto"/>
            </w:tcBorders>
          </w:tcPr>
          <w:p w14:paraId="2EB45FB1" w14:textId="77777777" w:rsidR="001977A1" w:rsidRPr="009D3838" w:rsidRDefault="001977A1" w:rsidP="00BE002F">
            <w:pPr>
              <w:rPr>
                <w:sz w:val="20"/>
              </w:rPr>
            </w:pPr>
          </w:p>
        </w:tc>
        <w:tc>
          <w:tcPr>
            <w:tcW w:w="4961" w:type="dxa"/>
            <w:tcBorders>
              <w:top w:val="single" w:sz="8" w:space="0" w:color="2D0054" w:themeColor="accent1"/>
              <w:left w:val="single" w:sz="8" w:space="0" w:color="2D0054" w:themeColor="accent1"/>
              <w:bottom w:val="single" w:sz="8" w:space="0" w:color="2D0054" w:themeColor="accent1"/>
            </w:tcBorders>
          </w:tcPr>
          <w:p w14:paraId="58C7C491" w14:textId="77777777" w:rsidR="001977A1" w:rsidRPr="009D3838" w:rsidRDefault="001977A1" w:rsidP="00BE002F">
            <w:pPr>
              <w:cnfStyle w:val="000000000000" w:firstRow="0" w:lastRow="0" w:firstColumn="0" w:lastColumn="0" w:oddVBand="0" w:evenVBand="0" w:oddHBand="0" w:evenHBand="0" w:firstRowFirstColumn="0" w:firstRowLastColumn="0" w:lastRowFirstColumn="0" w:lastRowLastColumn="0"/>
              <w:rPr>
                <w:sz w:val="20"/>
              </w:rPr>
            </w:pPr>
          </w:p>
        </w:tc>
      </w:tr>
    </w:tbl>
    <w:p w14:paraId="091AB4C1" w14:textId="77777777" w:rsidR="00537870" w:rsidRDefault="00537870" w:rsidP="00537870"/>
    <w:p w14:paraId="6A3EC92C" w14:textId="77777777" w:rsidR="00414128" w:rsidRDefault="00414128" w:rsidP="00537870"/>
    <w:p w14:paraId="4C3C63C3" w14:textId="2F7836D5" w:rsidR="00616BDD" w:rsidRDefault="00E3484B" w:rsidP="001554E7">
      <w:pPr>
        <w:pStyle w:val="Heading1"/>
        <w:numPr>
          <w:ilvl w:val="0"/>
          <w:numId w:val="20"/>
        </w:numPr>
      </w:pPr>
      <w:bookmarkStart w:id="3" w:name="_Toc216259235"/>
      <w:r>
        <w:lastRenderedPageBreak/>
        <w:t>P</w:t>
      </w:r>
      <w:r w:rsidR="00CD767C">
        <w:t>urpose</w:t>
      </w:r>
      <w:bookmarkEnd w:id="3"/>
    </w:p>
    <w:p w14:paraId="2FC9C764" w14:textId="77777777" w:rsidR="001241A8" w:rsidRDefault="001241A8" w:rsidP="009C3F0D">
      <w:pPr>
        <w:rPr>
          <w:rFonts w:asciiTheme="majorHAnsi" w:eastAsiaTheme="majorEastAsia" w:hAnsiTheme="majorHAnsi" w:cstheme="majorBidi"/>
          <w:b/>
          <w:bCs/>
          <w:color w:val="21003E" w:themeColor="accent1" w:themeShade="BF"/>
          <w:sz w:val="28"/>
          <w:szCs w:val="28"/>
        </w:rPr>
      </w:pPr>
    </w:p>
    <w:p w14:paraId="76A797FB" w14:textId="68322DD2" w:rsidR="001B0724" w:rsidRPr="00796EFE" w:rsidRDefault="001B0724" w:rsidP="00796EFE">
      <w:pPr>
        <w:pStyle w:val="NormalWeb"/>
        <w:spacing w:before="0" w:beforeAutospacing="0" w:after="180" w:afterAutospacing="0"/>
        <w:rPr>
          <w:rFonts w:asciiTheme="minorHAnsi" w:eastAsiaTheme="minorHAnsi" w:hAnsiTheme="minorHAnsi" w:cstheme="minorBidi"/>
          <w:sz w:val="22"/>
          <w:szCs w:val="22"/>
          <w:lang w:eastAsia="en-US"/>
        </w:rPr>
      </w:pPr>
      <w:r w:rsidRPr="00796EFE">
        <w:rPr>
          <w:rFonts w:asciiTheme="minorHAnsi" w:eastAsiaTheme="minorHAnsi" w:hAnsiTheme="minorHAnsi" w:cstheme="minorBidi"/>
          <w:sz w:val="22"/>
          <w:szCs w:val="22"/>
          <w:lang w:eastAsia="en-US"/>
        </w:rPr>
        <w:t xml:space="preserve">Under the Environment Act 2021 (amending previous legislation such as the Natural Environment and Rural Communities Act 2006 / “NERC Act”), public authorities in England — including local authorities (excluding parish councils) and local planning authorities — have a legal duty to conserve and enhance biodiversity when exercising their functions.  </w:t>
      </w:r>
    </w:p>
    <w:p w14:paraId="167E71CC" w14:textId="62BF8A93" w:rsidR="001B0724" w:rsidRPr="00796EFE" w:rsidRDefault="001B0724" w:rsidP="00796EFE">
      <w:pPr>
        <w:pStyle w:val="NormalWeb"/>
        <w:spacing w:before="0" w:beforeAutospacing="0" w:after="180" w:afterAutospacing="0"/>
        <w:rPr>
          <w:rFonts w:asciiTheme="minorHAnsi" w:eastAsiaTheme="minorHAnsi" w:hAnsiTheme="minorHAnsi" w:cstheme="minorBidi"/>
          <w:sz w:val="22"/>
          <w:szCs w:val="22"/>
          <w:lang w:eastAsia="en-US"/>
        </w:rPr>
      </w:pPr>
      <w:r w:rsidRPr="00796EFE">
        <w:rPr>
          <w:rFonts w:asciiTheme="minorHAnsi" w:eastAsiaTheme="minorHAnsi" w:hAnsiTheme="minorHAnsi" w:cstheme="minorBidi"/>
          <w:sz w:val="22"/>
          <w:szCs w:val="22"/>
          <w:lang w:eastAsia="en-US"/>
        </w:rPr>
        <w:t xml:space="preserve">This “biodiversity duty” is not just about avoiding harm: authorities must consider what actions they can properly take, set policies and objectives, and then </w:t>
      </w:r>
      <w:proofErr w:type="gramStart"/>
      <w:r w:rsidRPr="00796EFE">
        <w:rPr>
          <w:rFonts w:asciiTheme="minorHAnsi" w:eastAsiaTheme="minorHAnsi" w:hAnsiTheme="minorHAnsi" w:cstheme="minorBidi"/>
          <w:sz w:val="22"/>
          <w:szCs w:val="22"/>
          <w:lang w:eastAsia="en-US"/>
        </w:rPr>
        <w:t>take action</w:t>
      </w:r>
      <w:proofErr w:type="gramEnd"/>
      <w:r w:rsidRPr="00796EFE">
        <w:rPr>
          <w:rFonts w:asciiTheme="minorHAnsi" w:eastAsiaTheme="minorHAnsi" w:hAnsiTheme="minorHAnsi" w:cstheme="minorBidi"/>
          <w:sz w:val="22"/>
          <w:szCs w:val="22"/>
          <w:lang w:eastAsia="en-US"/>
        </w:rPr>
        <w:t xml:space="preserve"> consistent with those objectives to further biodiversity.  </w:t>
      </w:r>
      <w:r w:rsidR="005213A2" w:rsidRPr="009C3007">
        <w:rPr>
          <w:rFonts w:asciiTheme="minorHAnsi" w:eastAsiaTheme="minorHAnsi" w:hAnsiTheme="minorHAnsi" w:cstheme="minorBidi"/>
          <w:sz w:val="22"/>
          <w:szCs w:val="22"/>
          <w:lang w:eastAsia="en-US"/>
        </w:rPr>
        <w:t>The biodiversity report must be written in accordance with the Section 40A amendment of the Environment Act 2021, and the “Reporting your biodiversity duty actions” guidance provided by DEFRA</w:t>
      </w:r>
    </w:p>
    <w:p w14:paraId="1836F9E6" w14:textId="77777777" w:rsidR="006C7F83" w:rsidRPr="00796EFE" w:rsidRDefault="00C11B33" w:rsidP="00796EFE">
      <w:pPr>
        <w:pStyle w:val="NormalWeb"/>
        <w:spacing w:before="0" w:beforeAutospacing="0" w:after="180" w:afterAutospacing="0"/>
        <w:rPr>
          <w:rFonts w:asciiTheme="minorHAnsi" w:eastAsiaTheme="minorHAnsi" w:hAnsiTheme="minorHAnsi" w:cstheme="minorBidi"/>
          <w:sz w:val="22"/>
          <w:szCs w:val="22"/>
          <w:lang w:eastAsia="en-US"/>
        </w:rPr>
      </w:pPr>
      <w:r w:rsidRPr="00796EFE">
        <w:rPr>
          <w:rFonts w:asciiTheme="minorHAnsi" w:eastAsiaTheme="minorHAnsi" w:hAnsiTheme="minorHAnsi" w:cstheme="minorBidi"/>
          <w:sz w:val="22"/>
          <w:szCs w:val="22"/>
          <w:lang w:eastAsia="en-US"/>
        </w:rPr>
        <w:t>A</w:t>
      </w:r>
      <w:r w:rsidR="001B0724" w:rsidRPr="00796EFE">
        <w:rPr>
          <w:rFonts w:asciiTheme="minorHAnsi" w:eastAsiaTheme="minorHAnsi" w:hAnsiTheme="minorHAnsi" w:cstheme="minorBidi"/>
          <w:sz w:val="22"/>
          <w:szCs w:val="22"/>
          <w:lang w:eastAsia="en-US"/>
        </w:rPr>
        <w:t xml:space="preserve">uthorities also need to review and update their policies and actions periodically. </w:t>
      </w:r>
    </w:p>
    <w:p w14:paraId="23BFB909" w14:textId="7BC03826" w:rsidR="006C7F83" w:rsidRPr="00796EFE" w:rsidRDefault="006C7F83" w:rsidP="00796EFE">
      <w:pPr>
        <w:pStyle w:val="NormalWeb"/>
        <w:spacing w:before="0" w:beforeAutospacing="0" w:after="180" w:afterAutospacing="0"/>
        <w:rPr>
          <w:rFonts w:asciiTheme="minorHAnsi" w:eastAsiaTheme="minorHAnsi" w:hAnsiTheme="minorHAnsi" w:cstheme="minorBidi"/>
          <w:sz w:val="22"/>
          <w:szCs w:val="22"/>
          <w:lang w:eastAsia="en-US"/>
        </w:rPr>
      </w:pPr>
      <w:r w:rsidRPr="00796EFE">
        <w:rPr>
          <w:rFonts w:asciiTheme="minorHAnsi" w:eastAsiaTheme="minorHAnsi" w:hAnsiTheme="minorHAnsi" w:cstheme="minorBidi"/>
          <w:sz w:val="22"/>
          <w:szCs w:val="22"/>
          <w:lang w:eastAsia="en-US"/>
        </w:rPr>
        <w:t xml:space="preserve">The first full reporting period must end no later than 1 January 2026. Subsequent reporting periods must end within 5 years of the previous one.  </w:t>
      </w:r>
    </w:p>
    <w:p w14:paraId="1D0AC7C0" w14:textId="48A53DDB" w:rsidR="001B0724" w:rsidRPr="00796EFE" w:rsidRDefault="00262689" w:rsidP="00796EFE">
      <w:pPr>
        <w:pStyle w:val="NormalWeb"/>
        <w:spacing w:before="0" w:beforeAutospacing="0" w:after="180" w:afterAutospacing="0"/>
        <w:rPr>
          <w:rFonts w:asciiTheme="minorHAnsi" w:eastAsiaTheme="minorHAnsi" w:hAnsiTheme="minorHAnsi" w:cstheme="minorBidi"/>
          <w:sz w:val="22"/>
          <w:szCs w:val="22"/>
          <w:lang w:eastAsia="en-US"/>
        </w:rPr>
      </w:pPr>
      <w:r w:rsidRPr="00796EFE">
        <w:rPr>
          <w:rFonts w:asciiTheme="minorHAnsi" w:eastAsiaTheme="minorHAnsi" w:hAnsiTheme="minorHAnsi" w:cstheme="minorBidi"/>
          <w:sz w:val="22"/>
          <w:szCs w:val="22"/>
          <w:lang w:eastAsia="en-US"/>
        </w:rPr>
        <w:t>This b</w:t>
      </w:r>
      <w:r w:rsidR="001B0724" w:rsidRPr="00796EFE">
        <w:rPr>
          <w:rFonts w:asciiTheme="minorHAnsi" w:eastAsiaTheme="minorHAnsi" w:hAnsiTheme="minorHAnsi" w:cstheme="minorBidi"/>
          <w:sz w:val="22"/>
          <w:szCs w:val="22"/>
          <w:lang w:eastAsia="en-US"/>
        </w:rPr>
        <w:t xml:space="preserve">iodiversity duty report is a </w:t>
      </w:r>
      <w:proofErr w:type="gramStart"/>
      <w:r w:rsidR="001B0724" w:rsidRPr="00796EFE">
        <w:rPr>
          <w:rFonts w:asciiTheme="minorHAnsi" w:eastAsiaTheme="minorHAnsi" w:hAnsiTheme="minorHAnsi" w:cstheme="minorBidi"/>
          <w:sz w:val="22"/>
          <w:szCs w:val="22"/>
          <w:lang w:eastAsia="en-US"/>
        </w:rPr>
        <w:t>publicly-available</w:t>
      </w:r>
      <w:proofErr w:type="gramEnd"/>
      <w:r w:rsidR="001B0724" w:rsidRPr="00796EFE">
        <w:rPr>
          <w:rFonts w:asciiTheme="minorHAnsi" w:eastAsiaTheme="minorHAnsi" w:hAnsiTheme="minorHAnsi" w:cstheme="minorBidi"/>
          <w:sz w:val="22"/>
          <w:szCs w:val="22"/>
          <w:lang w:eastAsia="en-US"/>
        </w:rPr>
        <w:t xml:space="preserve"> document summarising how </w:t>
      </w:r>
      <w:r w:rsidRPr="00796EFE">
        <w:rPr>
          <w:rFonts w:asciiTheme="minorHAnsi" w:eastAsiaTheme="minorHAnsi" w:hAnsiTheme="minorHAnsi" w:cstheme="minorBidi"/>
          <w:sz w:val="22"/>
          <w:szCs w:val="22"/>
          <w:lang w:eastAsia="en-US"/>
        </w:rPr>
        <w:t>South Derbyshire District Cou</w:t>
      </w:r>
      <w:r w:rsidR="00776E82" w:rsidRPr="00796EFE">
        <w:rPr>
          <w:rFonts w:asciiTheme="minorHAnsi" w:eastAsiaTheme="minorHAnsi" w:hAnsiTheme="minorHAnsi" w:cstheme="minorBidi"/>
          <w:sz w:val="22"/>
          <w:szCs w:val="22"/>
          <w:lang w:eastAsia="en-US"/>
        </w:rPr>
        <w:t>n</w:t>
      </w:r>
      <w:r w:rsidRPr="00796EFE">
        <w:rPr>
          <w:rFonts w:asciiTheme="minorHAnsi" w:eastAsiaTheme="minorHAnsi" w:hAnsiTheme="minorHAnsi" w:cstheme="minorBidi"/>
          <w:sz w:val="22"/>
          <w:szCs w:val="22"/>
          <w:lang w:eastAsia="en-US"/>
        </w:rPr>
        <w:t>c</w:t>
      </w:r>
      <w:r w:rsidR="00776E82" w:rsidRPr="00796EFE">
        <w:rPr>
          <w:rFonts w:asciiTheme="minorHAnsi" w:eastAsiaTheme="minorHAnsi" w:hAnsiTheme="minorHAnsi" w:cstheme="minorBidi"/>
          <w:sz w:val="22"/>
          <w:szCs w:val="22"/>
          <w:lang w:eastAsia="en-US"/>
        </w:rPr>
        <w:t>i</w:t>
      </w:r>
      <w:r w:rsidRPr="00796EFE">
        <w:rPr>
          <w:rFonts w:asciiTheme="minorHAnsi" w:eastAsiaTheme="minorHAnsi" w:hAnsiTheme="minorHAnsi" w:cstheme="minorBidi"/>
          <w:sz w:val="22"/>
          <w:szCs w:val="22"/>
          <w:lang w:eastAsia="en-US"/>
        </w:rPr>
        <w:t>l</w:t>
      </w:r>
      <w:r w:rsidR="00776E82" w:rsidRPr="00796EFE">
        <w:rPr>
          <w:rFonts w:asciiTheme="minorHAnsi" w:eastAsiaTheme="minorHAnsi" w:hAnsiTheme="minorHAnsi" w:cstheme="minorBidi"/>
          <w:sz w:val="22"/>
          <w:szCs w:val="22"/>
          <w:lang w:eastAsia="en-US"/>
        </w:rPr>
        <w:t xml:space="preserve"> </w:t>
      </w:r>
      <w:r w:rsidR="001B0724" w:rsidRPr="00796EFE">
        <w:rPr>
          <w:rFonts w:asciiTheme="minorHAnsi" w:eastAsiaTheme="minorHAnsi" w:hAnsiTheme="minorHAnsi" w:cstheme="minorBidi"/>
          <w:sz w:val="22"/>
          <w:szCs w:val="22"/>
          <w:lang w:eastAsia="en-US"/>
        </w:rPr>
        <w:t xml:space="preserve">has met </w:t>
      </w:r>
      <w:r w:rsidR="00776E82" w:rsidRPr="00796EFE">
        <w:rPr>
          <w:rFonts w:asciiTheme="minorHAnsi" w:eastAsiaTheme="minorHAnsi" w:hAnsiTheme="minorHAnsi" w:cstheme="minorBidi"/>
          <w:sz w:val="22"/>
          <w:szCs w:val="22"/>
          <w:lang w:eastAsia="en-US"/>
        </w:rPr>
        <w:t xml:space="preserve">and </w:t>
      </w:r>
      <w:r w:rsidR="001B0724" w:rsidRPr="00796EFE">
        <w:rPr>
          <w:rFonts w:asciiTheme="minorHAnsi" w:eastAsiaTheme="minorHAnsi" w:hAnsiTheme="minorHAnsi" w:cstheme="minorBidi"/>
          <w:sz w:val="22"/>
          <w:szCs w:val="22"/>
          <w:lang w:eastAsia="en-US"/>
        </w:rPr>
        <w:t xml:space="preserve">plans to meet its biodiversity duty. </w:t>
      </w:r>
      <w:r w:rsidR="00435618" w:rsidRPr="00796EFE">
        <w:rPr>
          <w:rFonts w:asciiTheme="minorHAnsi" w:eastAsiaTheme="minorHAnsi" w:hAnsiTheme="minorHAnsi" w:cstheme="minorBidi"/>
          <w:sz w:val="22"/>
          <w:szCs w:val="22"/>
          <w:lang w:eastAsia="en-US"/>
        </w:rPr>
        <w:t>It provide</w:t>
      </w:r>
      <w:r w:rsidR="00B8726E" w:rsidRPr="00796EFE">
        <w:rPr>
          <w:rFonts w:asciiTheme="minorHAnsi" w:eastAsiaTheme="minorHAnsi" w:hAnsiTheme="minorHAnsi" w:cstheme="minorBidi"/>
          <w:sz w:val="22"/>
          <w:szCs w:val="22"/>
          <w:lang w:eastAsia="en-US"/>
        </w:rPr>
        <w:t>s</w:t>
      </w:r>
    </w:p>
    <w:p w14:paraId="3B27BA83" w14:textId="77777777" w:rsidR="001B0724" w:rsidRPr="00796EFE" w:rsidRDefault="001B0724" w:rsidP="00796EFE">
      <w:pPr>
        <w:pStyle w:val="NormalWeb"/>
        <w:spacing w:before="0" w:beforeAutospacing="0" w:after="180" w:afterAutospacing="0"/>
        <w:rPr>
          <w:rFonts w:asciiTheme="minorHAnsi" w:eastAsiaTheme="minorHAnsi" w:hAnsiTheme="minorHAnsi" w:cstheme="minorBidi"/>
          <w:sz w:val="22"/>
          <w:szCs w:val="22"/>
          <w:lang w:eastAsia="en-US"/>
        </w:rPr>
      </w:pPr>
    </w:p>
    <w:p w14:paraId="7E2AFB5E" w14:textId="1BFAB3E4" w:rsidR="001B0724" w:rsidRPr="00796EFE" w:rsidRDefault="001B0724" w:rsidP="000C5FF8">
      <w:pPr>
        <w:pStyle w:val="NormalWeb"/>
        <w:spacing w:before="0" w:beforeAutospacing="0" w:after="180" w:afterAutospacing="0"/>
        <w:ind w:left="709" w:hanging="709"/>
        <w:rPr>
          <w:rFonts w:asciiTheme="minorHAnsi" w:eastAsiaTheme="minorHAnsi" w:hAnsiTheme="minorHAnsi" w:cstheme="minorBidi"/>
          <w:sz w:val="22"/>
          <w:szCs w:val="22"/>
          <w:lang w:eastAsia="en-US"/>
        </w:rPr>
      </w:pPr>
      <w:r w:rsidRPr="00796EFE">
        <w:rPr>
          <w:rFonts w:asciiTheme="minorHAnsi" w:eastAsiaTheme="minorHAnsi" w:hAnsiTheme="minorHAnsi" w:cstheme="minorBidi"/>
          <w:sz w:val="22"/>
          <w:szCs w:val="22"/>
          <w:lang w:eastAsia="en-US"/>
        </w:rPr>
        <w:t>•</w:t>
      </w:r>
      <w:r w:rsidRPr="00796EFE">
        <w:rPr>
          <w:rFonts w:asciiTheme="minorHAnsi" w:eastAsiaTheme="minorHAnsi" w:hAnsiTheme="minorHAnsi" w:cstheme="minorBidi"/>
          <w:sz w:val="22"/>
          <w:szCs w:val="22"/>
          <w:lang w:eastAsia="en-US"/>
        </w:rPr>
        <w:tab/>
      </w:r>
      <w:r w:rsidRPr="000C5FF8">
        <w:rPr>
          <w:rFonts w:asciiTheme="minorHAnsi" w:eastAsiaTheme="minorHAnsi" w:hAnsiTheme="minorHAnsi" w:cstheme="minorBidi"/>
          <w:b/>
          <w:bCs/>
          <w:color w:val="2D0054" w:themeColor="accent1"/>
          <w:sz w:val="22"/>
          <w:szCs w:val="22"/>
          <w:lang w:eastAsia="en-US"/>
        </w:rPr>
        <w:t xml:space="preserve">Transparency and </w:t>
      </w:r>
      <w:r w:rsidR="00A64DD9" w:rsidRPr="000C5FF8">
        <w:rPr>
          <w:rFonts w:asciiTheme="minorHAnsi" w:eastAsiaTheme="minorHAnsi" w:hAnsiTheme="minorHAnsi" w:cstheme="minorBidi"/>
          <w:b/>
          <w:bCs/>
          <w:color w:val="2D0054" w:themeColor="accent1"/>
          <w:sz w:val="22"/>
          <w:szCs w:val="22"/>
          <w:lang w:eastAsia="en-US"/>
        </w:rPr>
        <w:t>A</w:t>
      </w:r>
      <w:r w:rsidRPr="000C5FF8">
        <w:rPr>
          <w:rFonts w:asciiTheme="minorHAnsi" w:eastAsiaTheme="minorHAnsi" w:hAnsiTheme="minorHAnsi" w:cstheme="minorBidi"/>
          <w:b/>
          <w:bCs/>
          <w:color w:val="2D0054" w:themeColor="accent1"/>
          <w:sz w:val="22"/>
          <w:szCs w:val="22"/>
          <w:lang w:eastAsia="en-US"/>
        </w:rPr>
        <w:t xml:space="preserve">ccountability: </w:t>
      </w:r>
      <w:r w:rsidRPr="000C5FF8">
        <w:rPr>
          <w:rFonts w:asciiTheme="minorHAnsi" w:eastAsiaTheme="minorHAnsi" w:hAnsiTheme="minorHAnsi" w:cstheme="minorBidi"/>
          <w:color w:val="2D0054" w:themeColor="accent1"/>
          <w:sz w:val="22"/>
          <w:szCs w:val="22"/>
          <w:lang w:eastAsia="en-US"/>
        </w:rPr>
        <w:t>The</w:t>
      </w:r>
      <w:r w:rsidRPr="000C5FF8">
        <w:rPr>
          <w:rFonts w:asciiTheme="minorHAnsi" w:eastAsiaTheme="minorHAnsi" w:hAnsiTheme="minorHAnsi" w:cstheme="minorBidi"/>
          <w:sz w:val="22"/>
          <w:szCs w:val="22"/>
          <w:lang w:eastAsia="en-US"/>
        </w:rPr>
        <w:t xml:space="preserve"> re</w:t>
      </w:r>
      <w:r w:rsidRPr="00796EFE">
        <w:rPr>
          <w:rFonts w:asciiTheme="minorHAnsi" w:eastAsiaTheme="minorHAnsi" w:hAnsiTheme="minorHAnsi" w:cstheme="minorBidi"/>
          <w:sz w:val="22"/>
          <w:szCs w:val="22"/>
          <w:lang w:eastAsia="en-US"/>
        </w:rPr>
        <w:t xml:space="preserve">port shows the public — residents, stakeholders, other organisations — what the council is doing (or plans to do) to support biodiversity. It helps ensure the authority is fulfilling its statutory duty.  </w:t>
      </w:r>
    </w:p>
    <w:p w14:paraId="51FA45CD" w14:textId="449F79EC" w:rsidR="001B0724" w:rsidRPr="00796EFE" w:rsidRDefault="001B0724" w:rsidP="00A64DD9">
      <w:pPr>
        <w:pStyle w:val="NormalWeb"/>
        <w:spacing w:before="0" w:beforeAutospacing="0" w:after="180" w:afterAutospacing="0"/>
        <w:ind w:left="709" w:hanging="709"/>
        <w:rPr>
          <w:rFonts w:asciiTheme="minorHAnsi" w:eastAsiaTheme="minorHAnsi" w:hAnsiTheme="minorHAnsi" w:cstheme="minorBidi"/>
          <w:sz w:val="22"/>
          <w:szCs w:val="22"/>
          <w:lang w:eastAsia="en-US"/>
        </w:rPr>
      </w:pPr>
      <w:r w:rsidRPr="00796EFE">
        <w:rPr>
          <w:rFonts w:asciiTheme="minorHAnsi" w:eastAsiaTheme="minorHAnsi" w:hAnsiTheme="minorHAnsi" w:cstheme="minorBidi"/>
          <w:sz w:val="22"/>
          <w:szCs w:val="22"/>
          <w:lang w:eastAsia="en-US"/>
        </w:rPr>
        <w:t>•</w:t>
      </w:r>
      <w:r w:rsidRPr="00796EFE">
        <w:rPr>
          <w:rFonts w:asciiTheme="minorHAnsi" w:eastAsiaTheme="minorHAnsi" w:hAnsiTheme="minorHAnsi" w:cstheme="minorBidi"/>
          <w:sz w:val="22"/>
          <w:szCs w:val="22"/>
          <w:lang w:eastAsia="en-US"/>
        </w:rPr>
        <w:tab/>
      </w:r>
      <w:r w:rsidRPr="000C5FF8">
        <w:rPr>
          <w:rFonts w:asciiTheme="minorHAnsi" w:eastAsiaTheme="minorHAnsi" w:hAnsiTheme="minorHAnsi" w:cstheme="minorBidi"/>
          <w:b/>
          <w:bCs/>
          <w:color w:val="2D0054" w:themeColor="accent1"/>
          <w:sz w:val="22"/>
          <w:szCs w:val="22"/>
          <w:lang w:eastAsia="en-US"/>
        </w:rPr>
        <w:t>Demonstrat</w:t>
      </w:r>
      <w:r w:rsidR="00BA11DF" w:rsidRPr="000C5FF8">
        <w:rPr>
          <w:rFonts w:asciiTheme="minorHAnsi" w:eastAsiaTheme="minorHAnsi" w:hAnsiTheme="minorHAnsi" w:cstheme="minorBidi"/>
          <w:b/>
          <w:bCs/>
          <w:color w:val="2D0054" w:themeColor="accent1"/>
          <w:sz w:val="22"/>
          <w:szCs w:val="22"/>
          <w:lang w:eastAsia="en-US"/>
        </w:rPr>
        <w:t xml:space="preserve">es </w:t>
      </w:r>
      <w:r w:rsidR="00A64DD9" w:rsidRPr="000C5FF8">
        <w:rPr>
          <w:rFonts w:asciiTheme="minorHAnsi" w:eastAsiaTheme="minorHAnsi" w:hAnsiTheme="minorHAnsi" w:cstheme="minorBidi"/>
          <w:b/>
          <w:bCs/>
          <w:color w:val="2D0054" w:themeColor="accent1"/>
          <w:sz w:val="22"/>
          <w:szCs w:val="22"/>
          <w:lang w:eastAsia="en-US"/>
        </w:rPr>
        <w:t>A</w:t>
      </w:r>
      <w:r w:rsidRPr="000C5FF8">
        <w:rPr>
          <w:rFonts w:asciiTheme="minorHAnsi" w:eastAsiaTheme="minorHAnsi" w:hAnsiTheme="minorHAnsi" w:cstheme="minorBidi"/>
          <w:b/>
          <w:bCs/>
          <w:color w:val="2D0054" w:themeColor="accent1"/>
          <w:sz w:val="22"/>
          <w:szCs w:val="22"/>
          <w:lang w:eastAsia="en-US"/>
        </w:rPr>
        <w:t xml:space="preserve">ction and </w:t>
      </w:r>
      <w:r w:rsidR="00A64DD9" w:rsidRPr="000C5FF8">
        <w:rPr>
          <w:rFonts w:asciiTheme="minorHAnsi" w:eastAsiaTheme="minorHAnsi" w:hAnsiTheme="minorHAnsi" w:cstheme="minorBidi"/>
          <w:b/>
          <w:bCs/>
          <w:color w:val="2D0054" w:themeColor="accent1"/>
          <w:sz w:val="22"/>
          <w:szCs w:val="22"/>
          <w:lang w:eastAsia="en-US"/>
        </w:rPr>
        <w:t>P</w:t>
      </w:r>
      <w:r w:rsidRPr="000C5FF8">
        <w:rPr>
          <w:rFonts w:asciiTheme="minorHAnsi" w:eastAsiaTheme="minorHAnsi" w:hAnsiTheme="minorHAnsi" w:cstheme="minorBidi"/>
          <w:b/>
          <w:bCs/>
          <w:color w:val="2D0054" w:themeColor="accent1"/>
          <w:sz w:val="22"/>
          <w:szCs w:val="22"/>
          <w:lang w:eastAsia="en-US"/>
        </w:rPr>
        <w:t>rogress</w:t>
      </w:r>
      <w:r w:rsidRPr="00A64DD9">
        <w:rPr>
          <w:rFonts w:asciiTheme="minorHAnsi" w:eastAsiaTheme="minorHAnsi" w:hAnsiTheme="minorHAnsi" w:cstheme="minorBidi"/>
          <w:b/>
          <w:bCs/>
          <w:sz w:val="22"/>
          <w:szCs w:val="22"/>
          <w:lang w:eastAsia="en-US"/>
        </w:rPr>
        <w:t>:</w:t>
      </w:r>
      <w:r w:rsidRPr="00796EFE">
        <w:rPr>
          <w:rFonts w:asciiTheme="minorHAnsi" w:eastAsiaTheme="minorHAnsi" w:hAnsiTheme="minorHAnsi" w:cstheme="minorBidi"/>
          <w:sz w:val="22"/>
          <w:szCs w:val="22"/>
          <w:lang w:eastAsia="en-US"/>
        </w:rPr>
        <w:t xml:space="preserve"> It summarises actions taken (or planned) to conserve, restore or enhance species and habitats; any gains achieved; and future commitments. This allows tracking of progress over time.  </w:t>
      </w:r>
    </w:p>
    <w:p w14:paraId="09549EAB" w14:textId="0CFE9AF4" w:rsidR="001B0724" w:rsidRPr="00796EFE" w:rsidRDefault="001B0724" w:rsidP="00A64DD9">
      <w:pPr>
        <w:pStyle w:val="NormalWeb"/>
        <w:spacing w:before="0" w:beforeAutospacing="0" w:after="180" w:afterAutospacing="0"/>
        <w:ind w:left="709" w:hanging="709"/>
        <w:rPr>
          <w:rFonts w:asciiTheme="minorHAnsi" w:eastAsiaTheme="minorHAnsi" w:hAnsiTheme="minorHAnsi" w:cstheme="minorBidi"/>
          <w:sz w:val="22"/>
          <w:szCs w:val="22"/>
          <w:lang w:eastAsia="en-US"/>
        </w:rPr>
      </w:pPr>
      <w:r w:rsidRPr="00796EFE">
        <w:rPr>
          <w:rFonts w:asciiTheme="minorHAnsi" w:eastAsiaTheme="minorHAnsi" w:hAnsiTheme="minorHAnsi" w:cstheme="minorBidi"/>
          <w:sz w:val="22"/>
          <w:szCs w:val="22"/>
          <w:lang w:eastAsia="en-US"/>
        </w:rPr>
        <w:t>•</w:t>
      </w:r>
      <w:r w:rsidRPr="00796EFE">
        <w:rPr>
          <w:rFonts w:asciiTheme="minorHAnsi" w:eastAsiaTheme="minorHAnsi" w:hAnsiTheme="minorHAnsi" w:cstheme="minorBidi"/>
          <w:sz w:val="22"/>
          <w:szCs w:val="22"/>
          <w:lang w:eastAsia="en-US"/>
        </w:rPr>
        <w:tab/>
      </w:r>
      <w:r w:rsidRPr="000C5FF8">
        <w:rPr>
          <w:rFonts w:asciiTheme="minorHAnsi" w:eastAsiaTheme="minorHAnsi" w:hAnsiTheme="minorHAnsi" w:cstheme="minorBidi"/>
          <w:b/>
          <w:bCs/>
          <w:color w:val="2D0054" w:themeColor="accent1"/>
          <w:sz w:val="22"/>
          <w:szCs w:val="22"/>
          <w:lang w:eastAsia="en-US"/>
        </w:rPr>
        <w:t>Inform</w:t>
      </w:r>
      <w:r w:rsidR="00BA11DF" w:rsidRPr="000C5FF8">
        <w:rPr>
          <w:rFonts w:asciiTheme="minorHAnsi" w:eastAsiaTheme="minorHAnsi" w:hAnsiTheme="minorHAnsi" w:cstheme="minorBidi"/>
          <w:b/>
          <w:bCs/>
          <w:color w:val="2D0054" w:themeColor="accent1"/>
          <w:sz w:val="22"/>
          <w:szCs w:val="22"/>
          <w:lang w:eastAsia="en-US"/>
        </w:rPr>
        <w:t xml:space="preserve">s </w:t>
      </w:r>
      <w:r w:rsidRPr="000C5FF8">
        <w:rPr>
          <w:rFonts w:asciiTheme="minorHAnsi" w:eastAsiaTheme="minorHAnsi" w:hAnsiTheme="minorHAnsi" w:cstheme="minorBidi"/>
          <w:b/>
          <w:bCs/>
          <w:color w:val="2D0054" w:themeColor="accent1"/>
          <w:sz w:val="22"/>
          <w:szCs w:val="22"/>
          <w:lang w:eastAsia="en-US"/>
        </w:rPr>
        <w:t xml:space="preserve">and </w:t>
      </w:r>
      <w:r w:rsidR="00A64DD9" w:rsidRPr="000C5FF8">
        <w:rPr>
          <w:rFonts w:asciiTheme="minorHAnsi" w:eastAsiaTheme="minorHAnsi" w:hAnsiTheme="minorHAnsi" w:cstheme="minorBidi"/>
          <w:b/>
          <w:bCs/>
          <w:color w:val="2D0054" w:themeColor="accent1"/>
          <w:sz w:val="22"/>
          <w:szCs w:val="22"/>
          <w:lang w:eastAsia="en-US"/>
        </w:rPr>
        <w:t>G</w:t>
      </w:r>
      <w:r w:rsidRPr="000C5FF8">
        <w:rPr>
          <w:rFonts w:asciiTheme="minorHAnsi" w:eastAsiaTheme="minorHAnsi" w:hAnsiTheme="minorHAnsi" w:cstheme="minorBidi"/>
          <w:b/>
          <w:bCs/>
          <w:color w:val="2D0054" w:themeColor="accent1"/>
          <w:sz w:val="22"/>
          <w:szCs w:val="22"/>
          <w:lang w:eastAsia="en-US"/>
        </w:rPr>
        <w:t>uid</w:t>
      </w:r>
      <w:r w:rsidR="00BA11DF" w:rsidRPr="000C5FF8">
        <w:rPr>
          <w:rFonts w:asciiTheme="minorHAnsi" w:eastAsiaTheme="minorHAnsi" w:hAnsiTheme="minorHAnsi" w:cstheme="minorBidi"/>
          <w:b/>
          <w:bCs/>
          <w:color w:val="2D0054" w:themeColor="accent1"/>
          <w:sz w:val="22"/>
          <w:szCs w:val="22"/>
          <w:lang w:eastAsia="en-US"/>
        </w:rPr>
        <w:t xml:space="preserve">es </w:t>
      </w:r>
      <w:r w:rsidR="00A64DD9" w:rsidRPr="000C5FF8">
        <w:rPr>
          <w:rFonts w:asciiTheme="minorHAnsi" w:eastAsiaTheme="minorHAnsi" w:hAnsiTheme="minorHAnsi" w:cstheme="minorBidi"/>
          <w:b/>
          <w:bCs/>
          <w:color w:val="2D0054" w:themeColor="accent1"/>
          <w:sz w:val="22"/>
          <w:szCs w:val="22"/>
          <w:lang w:eastAsia="en-US"/>
        </w:rPr>
        <w:t>D</w:t>
      </w:r>
      <w:r w:rsidRPr="000C5FF8">
        <w:rPr>
          <w:rFonts w:asciiTheme="minorHAnsi" w:eastAsiaTheme="minorHAnsi" w:hAnsiTheme="minorHAnsi" w:cstheme="minorBidi"/>
          <w:b/>
          <w:bCs/>
          <w:color w:val="2D0054" w:themeColor="accent1"/>
          <w:sz w:val="22"/>
          <w:szCs w:val="22"/>
          <w:lang w:eastAsia="en-US"/>
        </w:rPr>
        <w:t>ecisions:</w:t>
      </w:r>
      <w:r w:rsidRPr="00796EFE">
        <w:rPr>
          <w:rFonts w:asciiTheme="minorHAnsi" w:eastAsiaTheme="minorHAnsi" w:hAnsiTheme="minorHAnsi" w:cstheme="minorBidi"/>
          <w:sz w:val="22"/>
          <w:szCs w:val="22"/>
          <w:lang w:eastAsia="en-US"/>
        </w:rPr>
        <w:t xml:space="preserve"> For authorities engaged in planning, development, land use, procurement, services, etc., the report helps integrate biodiversity considerations into everyday decisions (e.g. planning applications, land management, development approvals).  </w:t>
      </w:r>
    </w:p>
    <w:p w14:paraId="0E57CDC2" w14:textId="2B155F99" w:rsidR="001B0724" w:rsidRPr="00796EFE" w:rsidRDefault="001B0724" w:rsidP="00807A13">
      <w:pPr>
        <w:pStyle w:val="NormalWeb"/>
        <w:spacing w:before="0" w:beforeAutospacing="0" w:after="180" w:afterAutospacing="0"/>
        <w:ind w:left="709" w:hanging="709"/>
        <w:rPr>
          <w:rFonts w:asciiTheme="minorHAnsi" w:eastAsiaTheme="minorHAnsi" w:hAnsiTheme="minorHAnsi" w:cstheme="minorBidi"/>
          <w:sz w:val="22"/>
          <w:szCs w:val="22"/>
          <w:lang w:eastAsia="en-US"/>
        </w:rPr>
      </w:pPr>
      <w:r w:rsidRPr="00796EFE">
        <w:rPr>
          <w:rFonts w:asciiTheme="minorHAnsi" w:eastAsiaTheme="minorHAnsi" w:hAnsiTheme="minorHAnsi" w:cstheme="minorBidi"/>
          <w:sz w:val="22"/>
          <w:szCs w:val="22"/>
          <w:lang w:eastAsia="en-US"/>
        </w:rPr>
        <w:t>•</w:t>
      </w:r>
      <w:r w:rsidRPr="00796EFE">
        <w:rPr>
          <w:rFonts w:asciiTheme="minorHAnsi" w:eastAsiaTheme="minorHAnsi" w:hAnsiTheme="minorHAnsi" w:cstheme="minorBidi"/>
          <w:sz w:val="22"/>
          <w:szCs w:val="22"/>
          <w:lang w:eastAsia="en-US"/>
        </w:rPr>
        <w:tab/>
      </w:r>
      <w:r w:rsidRPr="00DC1BB4">
        <w:rPr>
          <w:rFonts w:asciiTheme="minorHAnsi" w:eastAsiaTheme="minorHAnsi" w:hAnsiTheme="minorHAnsi" w:cstheme="minorBidi"/>
          <w:b/>
          <w:bCs/>
          <w:color w:val="2D0054" w:themeColor="accent1"/>
          <w:sz w:val="22"/>
          <w:szCs w:val="22"/>
          <w:lang w:eastAsia="en-US"/>
        </w:rPr>
        <w:t>Shar</w:t>
      </w:r>
      <w:r w:rsidR="00BA11DF" w:rsidRPr="00DC1BB4">
        <w:rPr>
          <w:rFonts w:asciiTheme="minorHAnsi" w:eastAsiaTheme="minorHAnsi" w:hAnsiTheme="minorHAnsi" w:cstheme="minorBidi"/>
          <w:b/>
          <w:bCs/>
          <w:color w:val="2D0054" w:themeColor="accent1"/>
          <w:sz w:val="22"/>
          <w:szCs w:val="22"/>
          <w:lang w:eastAsia="en-US"/>
        </w:rPr>
        <w:t xml:space="preserve">es </w:t>
      </w:r>
      <w:r w:rsidR="00DC1BB4">
        <w:rPr>
          <w:rFonts w:asciiTheme="minorHAnsi" w:eastAsiaTheme="minorHAnsi" w:hAnsiTheme="minorHAnsi" w:cstheme="minorBidi"/>
          <w:b/>
          <w:bCs/>
          <w:color w:val="2D0054" w:themeColor="accent1"/>
          <w:sz w:val="22"/>
          <w:szCs w:val="22"/>
          <w:lang w:eastAsia="en-US"/>
        </w:rPr>
        <w:t>B</w:t>
      </w:r>
      <w:r w:rsidRPr="00DC1BB4">
        <w:rPr>
          <w:rFonts w:asciiTheme="minorHAnsi" w:eastAsiaTheme="minorHAnsi" w:hAnsiTheme="minorHAnsi" w:cstheme="minorBidi"/>
          <w:b/>
          <w:bCs/>
          <w:color w:val="2D0054" w:themeColor="accent1"/>
          <w:sz w:val="22"/>
          <w:szCs w:val="22"/>
          <w:lang w:eastAsia="en-US"/>
        </w:rPr>
        <w:t xml:space="preserve">est </w:t>
      </w:r>
      <w:r w:rsidR="00DC1BB4">
        <w:rPr>
          <w:rFonts w:asciiTheme="minorHAnsi" w:eastAsiaTheme="minorHAnsi" w:hAnsiTheme="minorHAnsi" w:cstheme="minorBidi"/>
          <w:b/>
          <w:bCs/>
          <w:color w:val="2D0054" w:themeColor="accent1"/>
          <w:sz w:val="22"/>
          <w:szCs w:val="22"/>
          <w:lang w:eastAsia="en-US"/>
        </w:rPr>
        <w:t>P</w:t>
      </w:r>
      <w:r w:rsidRPr="00DC1BB4">
        <w:rPr>
          <w:rFonts w:asciiTheme="minorHAnsi" w:eastAsiaTheme="minorHAnsi" w:hAnsiTheme="minorHAnsi" w:cstheme="minorBidi"/>
          <w:b/>
          <w:bCs/>
          <w:color w:val="2D0054" w:themeColor="accent1"/>
          <w:sz w:val="22"/>
          <w:szCs w:val="22"/>
          <w:lang w:eastAsia="en-US"/>
        </w:rPr>
        <w:t>ractice</w:t>
      </w:r>
      <w:r w:rsidR="00DC1BB4">
        <w:rPr>
          <w:rFonts w:asciiTheme="minorHAnsi" w:eastAsiaTheme="minorHAnsi" w:hAnsiTheme="minorHAnsi" w:cstheme="minorBidi"/>
          <w:b/>
          <w:bCs/>
          <w:color w:val="2D0054" w:themeColor="accent1"/>
          <w:sz w:val="22"/>
          <w:szCs w:val="22"/>
          <w:lang w:eastAsia="en-US"/>
        </w:rPr>
        <w:t>:</w:t>
      </w:r>
      <w:r w:rsidRPr="00DC1BB4">
        <w:rPr>
          <w:rFonts w:asciiTheme="minorHAnsi" w:eastAsiaTheme="minorHAnsi" w:hAnsiTheme="minorHAnsi" w:cstheme="minorBidi"/>
          <w:b/>
          <w:bCs/>
          <w:color w:val="2D0054" w:themeColor="accent1"/>
          <w:sz w:val="22"/>
          <w:szCs w:val="22"/>
          <w:lang w:eastAsia="en-US"/>
        </w:rPr>
        <w:t xml:space="preserve"> </w:t>
      </w:r>
      <w:r w:rsidR="00F01655" w:rsidRPr="00DC1BB4">
        <w:rPr>
          <w:rFonts w:asciiTheme="minorHAnsi" w:eastAsiaTheme="minorHAnsi" w:hAnsiTheme="minorHAnsi" w:cstheme="minorBidi"/>
          <w:color w:val="2D0054" w:themeColor="accent1"/>
          <w:sz w:val="22"/>
          <w:szCs w:val="22"/>
          <w:lang w:eastAsia="en-US"/>
        </w:rPr>
        <w:t>b</w:t>
      </w:r>
      <w:r w:rsidRPr="00DC1BB4">
        <w:rPr>
          <w:rFonts w:asciiTheme="minorHAnsi" w:eastAsiaTheme="minorHAnsi" w:hAnsiTheme="minorHAnsi" w:cstheme="minorBidi"/>
          <w:color w:val="2D0054" w:themeColor="accent1"/>
          <w:sz w:val="22"/>
          <w:szCs w:val="22"/>
          <w:lang w:eastAsia="en-US"/>
        </w:rPr>
        <w:t>y</w:t>
      </w:r>
      <w:r w:rsidRPr="00796EFE">
        <w:rPr>
          <w:rFonts w:asciiTheme="minorHAnsi" w:eastAsiaTheme="minorHAnsi" w:hAnsiTheme="minorHAnsi" w:cstheme="minorBidi"/>
          <w:sz w:val="22"/>
          <w:szCs w:val="22"/>
          <w:lang w:eastAsia="en-US"/>
        </w:rPr>
        <w:t xml:space="preserve"> making reports public, authorities can share ideas, successes or challenges with each other — helping spread effective biodiversity conservation and enhancement measures.  </w:t>
      </w:r>
    </w:p>
    <w:p w14:paraId="597D3177" w14:textId="6D10AEE0" w:rsidR="001B0724" w:rsidRPr="00796EFE" w:rsidRDefault="001B0724" w:rsidP="00807A13">
      <w:pPr>
        <w:pStyle w:val="NormalWeb"/>
        <w:spacing w:before="0" w:beforeAutospacing="0" w:after="180" w:afterAutospacing="0"/>
        <w:ind w:left="709" w:hanging="709"/>
        <w:rPr>
          <w:rFonts w:asciiTheme="minorHAnsi" w:eastAsiaTheme="minorHAnsi" w:hAnsiTheme="minorHAnsi" w:cstheme="minorBidi"/>
          <w:sz w:val="22"/>
          <w:szCs w:val="22"/>
          <w:lang w:eastAsia="en-US"/>
        </w:rPr>
      </w:pPr>
      <w:r w:rsidRPr="00796EFE">
        <w:rPr>
          <w:rFonts w:asciiTheme="minorHAnsi" w:eastAsiaTheme="minorHAnsi" w:hAnsiTheme="minorHAnsi" w:cstheme="minorBidi"/>
          <w:sz w:val="22"/>
          <w:szCs w:val="22"/>
          <w:lang w:eastAsia="en-US"/>
        </w:rPr>
        <w:t>•</w:t>
      </w:r>
      <w:r w:rsidRPr="00796EFE">
        <w:rPr>
          <w:rFonts w:asciiTheme="minorHAnsi" w:eastAsiaTheme="minorHAnsi" w:hAnsiTheme="minorHAnsi" w:cstheme="minorBidi"/>
          <w:sz w:val="22"/>
          <w:szCs w:val="22"/>
          <w:lang w:eastAsia="en-US"/>
        </w:rPr>
        <w:tab/>
      </w:r>
      <w:r w:rsidRPr="00DC1BB4">
        <w:rPr>
          <w:rFonts w:asciiTheme="minorHAnsi" w:eastAsiaTheme="minorHAnsi" w:hAnsiTheme="minorHAnsi" w:cstheme="minorBidi"/>
          <w:b/>
          <w:bCs/>
          <w:color w:val="2D0054" w:themeColor="accent1"/>
          <w:sz w:val="22"/>
          <w:szCs w:val="22"/>
          <w:lang w:eastAsia="en-US"/>
        </w:rPr>
        <w:t>Support</w:t>
      </w:r>
      <w:r w:rsidR="00416B6C" w:rsidRPr="00DC1BB4">
        <w:rPr>
          <w:rFonts w:asciiTheme="minorHAnsi" w:eastAsiaTheme="minorHAnsi" w:hAnsiTheme="minorHAnsi" w:cstheme="minorBidi"/>
          <w:b/>
          <w:bCs/>
          <w:color w:val="2D0054" w:themeColor="accent1"/>
          <w:sz w:val="22"/>
          <w:szCs w:val="22"/>
          <w:lang w:eastAsia="en-US"/>
        </w:rPr>
        <w:t xml:space="preserve">s </w:t>
      </w:r>
      <w:r w:rsidR="00807A13" w:rsidRPr="00DC1BB4">
        <w:rPr>
          <w:rFonts w:asciiTheme="minorHAnsi" w:eastAsiaTheme="minorHAnsi" w:hAnsiTheme="minorHAnsi" w:cstheme="minorBidi"/>
          <w:b/>
          <w:bCs/>
          <w:color w:val="2D0054" w:themeColor="accent1"/>
          <w:sz w:val="22"/>
          <w:szCs w:val="22"/>
          <w:lang w:eastAsia="en-US"/>
        </w:rPr>
        <w:t>N</w:t>
      </w:r>
      <w:r w:rsidRPr="00DC1BB4">
        <w:rPr>
          <w:rFonts w:asciiTheme="minorHAnsi" w:eastAsiaTheme="minorHAnsi" w:hAnsiTheme="minorHAnsi" w:cstheme="minorBidi"/>
          <w:b/>
          <w:bCs/>
          <w:color w:val="2D0054" w:themeColor="accent1"/>
          <w:sz w:val="22"/>
          <w:szCs w:val="22"/>
          <w:lang w:eastAsia="en-US"/>
        </w:rPr>
        <w:t>ational</w:t>
      </w:r>
      <w:r w:rsidR="00807A13" w:rsidRPr="00DC1BB4">
        <w:rPr>
          <w:rFonts w:asciiTheme="minorHAnsi" w:eastAsiaTheme="minorHAnsi" w:hAnsiTheme="minorHAnsi" w:cstheme="minorBidi"/>
          <w:b/>
          <w:bCs/>
          <w:color w:val="2D0054" w:themeColor="accent1"/>
          <w:sz w:val="22"/>
          <w:szCs w:val="22"/>
          <w:lang w:eastAsia="en-US"/>
        </w:rPr>
        <w:t xml:space="preserve"> B</w:t>
      </w:r>
      <w:r w:rsidRPr="00DC1BB4">
        <w:rPr>
          <w:rFonts w:asciiTheme="minorHAnsi" w:eastAsiaTheme="minorHAnsi" w:hAnsiTheme="minorHAnsi" w:cstheme="minorBidi"/>
          <w:b/>
          <w:bCs/>
          <w:color w:val="2D0054" w:themeColor="accent1"/>
          <w:sz w:val="22"/>
          <w:szCs w:val="22"/>
          <w:lang w:eastAsia="en-US"/>
        </w:rPr>
        <w:t xml:space="preserve">iodiversity </w:t>
      </w:r>
      <w:r w:rsidR="00807A13" w:rsidRPr="00DC1BB4">
        <w:rPr>
          <w:rFonts w:asciiTheme="minorHAnsi" w:eastAsiaTheme="minorHAnsi" w:hAnsiTheme="minorHAnsi" w:cstheme="minorBidi"/>
          <w:b/>
          <w:bCs/>
          <w:color w:val="2D0054" w:themeColor="accent1"/>
          <w:sz w:val="22"/>
          <w:szCs w:val="22"/>
          <w:lang w:eastAsia="en-US"/>
        </w:rPr>
        <w:t>G</w:t>
      </w:r>
      <w:r w:rsidRPr="00DC1BB4">
        <w:rPr>
          <w:rFonts w:asciiTheme="minorHAnsi" w:eastAsiaTheme="minorHAnsi" w:hAnsiTheme="minorHAnsi" w:cstheme="minorBidi"/>
          <w:b/>
          <w:bCs/>
          <w:color w:val="2D0054" w:themeColor="accent1"/>
          <w:sz w:val="22"/>
          <w:szCs w:val="22"/>
          <w:lang w:eastAsia="en-US"/>
        </w:rPr>
        <w:t>oals:</w:t>
      </w:r>
      <w:r w:rsidRPr="00DC1BB4">
        <w:rPr>
          <w:rFonts w:asciiTheme="minorHAnsi" w:eastAsiaTheme="minorHAnsi" w:hAnsiTheme="minorHAnsi" w:cstheme="minorBidi"/>
          <w:color w:val="2D0054" w:themeColor="accent1"/>
          <w:sz w:val="22"/>
          <w:szCs w:val="22"/>
          <w:lang w:eastAsia="en-US"/>
        </w:rPr>
        <w:t xml:space="preserve"> </w:t>
      </w:r>
      <w:r w:rsidRPr="00796EFE">
        <w:rPr>
          <w:rFonts w:asciiTheme="minorHAnsi" w:eastAsiaTheme="minorHAnsi" w:hAnsiTheme="minorHAnsi" w:cstheme="minorBidi"/>
          <w:sz w:val="22"/>
          <w:szCs w:val="22"/>
          <w:lang w:eastAsia="en-US"/>
        </w:rPr>
        <w:t xml:space="preserve">These local-level reports feed into broader efforts to meet national (or UK-wide) biodiversity and nature-recovery targets: for example, protecting more wildlife, restoring habitats, increasing species abundance, and contributing to environmental improvement plans.  </w:t>
      </w:r>
    </w:p>
    <w:p w14:paraId="7D793BDD" w14:textId="1ACB639C" w:rsidR="001B0724" w:rsidRPr="00796EFE" w:rsidRDefault="001B0724" w:rsidP="00807A13">
      <w:pPr>
        <w:pStyle w:val="NormalWeb"/>
        <w:spacing w:before="0" w:beforeAutospacing="0" w:after="180" w:afterAutospacing="0"/>
        <w:ind w:left="709" w:hanging="709"/>
        <w:rPr>
          <w:rFonts w:asciiTheme="minorHAnsi" w:eastAsiaTheme="minorHAnsi" w:hAnsiTheme="minorHAnsi" w:cstheme="minorBidi"/>
          <w:sz w:val="22"/>
          <w:szCs w:val="22"/>
          <w:lang w:eastAsia="en-US"/>
        </w:rPr>
      </w:pPr>
      <w:r w:rsidRPr="00796EFE">
        <w:rPr>
          <w:rFonts w:asciiTheme="minorHAnsi" w:eastAsiaTheme="minorHAnsi" w:hAnsiTheme="minorHAnsi" w:cstheme="minorBidi"/>
          <w:sz w:val="22"/>
          <w:szCs w:val="22"/>
          <w:lang w:eastAsia="en-US"/>
        </w:rPr>
        <w:t>•</w:t>
      </w:r>
      <w:r w:rsidRPr="00796EFE">
        <w:rPr>
          <w:rFonts w:asciiTheme="minorHAnsi" w:eastAsiaTheme="minorHAnsi" w:hAnsiTheme="minorHAnsi" w:cstheme="minorBidi"/>
          <w:sz w:val="22"/>
          <w:szCs w:val="22"/>
          <w:lang w:eastAsia="en-US"/>
        </w:rPr>
        <w:tab/>
        <w:t xml:space="preserve">It encourages a </w:t>
      </w:r>
      <w:r w:rsidR="009D2FAC" w:rsidRPr="009D2FAC">
        <w:rPr>
          <w:rFonts w:asciiTheme="minorHAnsi" w:eastAsiaTheme="minorHAnsi" w:hAnsiTheme="minorHAnsi" w:cstheme="minorBidi"/>
          <w:b/>
          <w:bCs/>
          <w:sz w:val="22"/>
          <w:szCs w:val="22"/>
          <w:lang w:eastAsia="en-US"/>
        </w:rPr>
        <w:t>S</w:t>
      </w:r>
      <w:r w:rsidRPr="009D2FAC">
        <w:rPr>
          <w:rFonts w:asciiTheme="minorHAnsi" w:eastAsiaTheme="minorHAnsi" w:hAnsiTheme="minorHAnsi" w:cstheme="minorBidi"/>
          <w:b/>
          <w:bCs/>
          <w:color w:val="2D0054" w:themeColor="accent1"/>
          <w:sz w:val="22"/>
          <w:szCs w:val="22"/>
          <w:lang w:eastAsia="en-US"/>
        </w:rPr>
        <w:t xml:space="preserve">trategic, </w:t>
      </w:r>
      <w:r w:rsidR="009D2FAC">
        <w:rPr>
          <w:rFonts w:asciiTheme="minorHAnsi" w:eastAsiaTheme="minorHAnsi" w:hAnsiTheme="minorHAnsi" w:cstheme="minorBidi"/>
          <w:b/>
          <w:bCs/>
          <w:color w:val="2D0054" w:themeColor="accent1"/>
          <w:sz w:val="22"/>
          <w:szCs w:val="22"/>
          <w:lang w:eastAsia="en-US"/>
        </w:rPr>
        <w:t>L</w:t>
      </w:r>
      <w:r w:rsidRPr="009D2FAC">
        <w:rPr>
          <w:rFonts w:asciiTheme="minorHAnsi" w:eastAsiaTheme="minorHAnsi" w:hAnsiTheme="minorHAnsi" w:cstheme="minorBidi"/>
          <w:b/>
          <w:bCs/>
          <w:color w:val="2D0054" w:themeColor="accent1"/>
          <w:sz w:val="22"/>
          <w:szCs w:val="22"/>
          <w:lang w:eastAsia="en-US"/>
        </w:rPr>
        <w:t>ong-</w:t>
      </w:r>
      <w:r w:rsidR="009D2FAC">
        <w:rPr>
          <w:rFonts w:asciiTheme="minorHAnsi" w:eastAsiaTheme="minorHAnsi" w:hAnsiTheme="minorHAnsi" w:cstheme="minorBidi"/>
          <w:b/>
          <w:bCs/>
          <w:color w:val="2D0054" w:themeColor="accent1"/>
          <w:sz w:val="22"/>
          <w:szCs w:val="22"/>
          <w:lang w:eastAsia="en-US"/>
        </w:rPr>
        <w:t>T</w:t>
      </w:r>
      <w:r w:rsidRPr="009D2FAC">
        <w:rPr>
          <w:rFonts w:asciiTheme="minorHAnsi" w:eastAsiaTheme="minorHAnsi" w:hAnsiTheme="minorHAnsi" w:cstheme="minorBidi"/>
          <w:b/>
          <w:bCs/>
          <w:color w:val="2D0054" w:themeColor="accent1"/>
          <w:sz w:val="22"/>
          <w:szCs w:val="22"/>
          <w:lang w:eastAsia="en-US"/>
        </w:rPr>
        <w:t xml:space="preserve">erm </w:t>
      </w:r>
      <w:r w:rsidR="009D2FAC">
        <w:rPr>
          <w:rFonts w:asciiTheme="minorHAnsi" w:eastAsiaTheme="minorHAnsi" w:hAnsiTheme="minorHAnsi" w:cstheme="minorBidi"/>
          <w:b/>
          <w:bCs/>
          <w:color w:val="2D0054" w:themeColor="accent1"/>
          <w:sz w:val="22"/>
          <w:szCs w:val="22"/>
          <w:lang w:eastAsia="en-US"/>
        </w:rPr>
        <w:t>A</w:t>
      </w:r>
      <w:r w:rsidRPr="009D2FAC">
        <w:rPr>
          <w:rFonts w:asciiTheme="minorHAnsi" w:eastAsiaTheme="minorHAnsi" w:hAnsiTheme="minorHAnsi" w:cstheme="minorBidi"/>
          <w:b/>
          <w:bCs/>
          <w:color w:val="2D0054" w:themeColor="accent1"/>
          <w:sz w:val="22"/>
          <w:szCs w:val="22"/>
          <w:lang w:eastAsia="en-US"/>
        </w:rPr>
        <w:t>pproach</w:t>
      </w:r>
      <w:r w:rsidRPr="009D2FAC">
        <w:rPr>
          <w:rFonts w:asciiTheme="minorHAnsi" w:eastAsiaTheme="minorHAnsi" w:hAnsiTheme="minorHAnsi" w:cstheme="minorBidi"/>
          <w:color w:val="2D0054" w:themeColor="accent1"/>
          <w:sz w:val="22"/>
          <w:szCs w:val="22"/>
          <w:lang w:eastAsia="en-US"/>
        </w:rPr>
        <w:t xml:space="preserve"> </w:t>
      </w:r>
      <w:r w:rsidRPr="00796EFE">
        <w:rPr>
          <w:rFonts w:asciiTheme="minorHAnsi" w:eastAsiaTheme="minorHAnsi" w:hAnsiTheme="minorHAnsi" w:cstheme="minorBidi"/>
          <w:sz w:val="22"/>
          <w:szCs w:val="22"/>
          <w:lang w:eastAsia="en-US"/>
        </w:rPr>
        <w:t xml:space="preserve">across all parts of </w:t>
      </w:r>
      <w:r w:rsidR="0065092A" w:rsidRPr="00796EFE">
        <w:rPr>
          <w:rFonts w:asciiTheme="minorHAnsi" w:eastAsiaTheme="minorHAnsi" w:hAnsiTheme="minorHAnsi" w:cstheme="minorBidi"/>
          <w:sz w:val="22"/>
          <w:szCs w:val="22"/>
          <w:lang w:eastAsia="en-US"/>
        </w:rPr>
        <w:t xml:space="preserve">South Derbyshire District Council </w:t>
      </w:r>
      <w:r w:rsidRPr="00796EFE">
        <w:rPr>
          <w:rFonts w:asciiTheme="minorHAnsi" w:eastAsiaTheme="minorHAnsi" w:hAnsiTheme="minorHAnsi" w:cstheme="minorBidi"/>
          <w:sz w:val="22"/>
          <w:szCs w:val="22"/>
          <w:lang w:eastAsia="en-US"/>
        </w:rPr>
        <w:t xml:space="preserve">— land use, planning, procurement, property, parks, services — rather than piecemeal or ad-hoc efforts. This coherence helps deliver meaningful biodiversity improvement.  </w:t>
      </w:r>
    </w:p>
    <w:p w14:paraId="2EFA7DE7" w14:textId="77777777" w:rsidR="001B0724" w:rsidRPr="00796EFE" w:rsidRDefault="001B0724" w:rsidP="00807A13">
      <w:pPr>
        <w:pStyle w:val="NormalWeb"/>
        <w:spacing w:before="0" w:beforeAutospacing="0" w:after="180" w:afterAutospacing="0"/>
        <w:ind w:left="709" w:hanging="709"/>
        <w:rPr>
          <w:rFonts w:asciiTheme="minorHAnsi" w:eastAsiaTheme="minorHAnsi" w:hAnsiTheme="minorHAnsi" w:cstheme="minorBidi"/>
          <w:sz w:val="22"/>
          <w:szCs w:val="22"/>
          <w:lang w:eastAsia="en-US"/>
        </w:rPr>
      </w:pPr>
      <w:r w:rsidRPr="00796EFE">
        <w:rPr>
          <w:rFonts w:asciiTheme="minorHAnsi" w:eastAsiaTheme="minorHAnsi" w:hAnsiTheme="minorHAnsi" w:cstheme="minorBidi"/>
          <w:sz w:val="22"/>
          <w:szCs w:val="22"/>
          <w:lang w:eastAsia="en-US"/>
        </w:rPr>
        <w:t>•</w:t>
      </w:r>
      <w:r w:rsidRPr="00796EFE">
        <w:rPr>
          <w:rFonts w:asciiTheme="minorHAnsi" w:eastAsiaTheme="minorHAnsi" w:hAnsiTheme="minorHAnsi" w:cstheme="minorBidi"/>
          <w:sz w:val="22"/>
          <w:szCs w:val="22"/>
          <w:lang w:eastAsia="en-US"/>
        </w:rPr>
        <w:tab/>
        <w:t xml:space="preserve">It </w:t>
      </w:r>
      <w:r w:rsidRPr="00867622">
        <w:rPr>
          <w:rFonts w:asciiTheme="minorHAnsi" w:eastAsiaTheme="minorHAnsi" w:hAnsiTheme="minorHAnsi" w:cstheme="minorBidi"/>
          <w:b/>
          <w:bCs/>
          <w:color w:val="2D0054" w:themeColor="accent1"/>
          <w:sz w:val="22"/>
          <w:szCs w:val="22"/>
          <w:lang w:eastAsia="en-US"/>
        </w:rPr>
        <w:t>allows communities, stakeholders, and organisations to hold councils accountable</w:t>
      </w:r>
      <w:r w:rsidRPr="00867622">
        <w:rPr>
          <w:rFonts w:asciiTheme="minorHAnsi" w:eastAsiaTheme="minorHAnsi" w:hAnsiTheme="minorHAnsi" w:cstheme="minorBidi"/>
          <w:color w:val="2D0054" w:themeColor="accent1"/>
          <w:sz w:val="22"/>
          <w:szCs w:val="22"/>
          <w:lang w:eastAsia="en-US"/>
        </w:rPr>
        <w:t>,</w:t>
      </w:r>
      <w:r w:rsidRPr="00796EFE">
        <w:rPr>
          <w:rFonts w:asciiTheme="minorHAnsi" w:eastAsiaTheme="minorHAnsi" w:hAnsiTheme="minorHAnsi" w:cstheme="minorBidi"/>
          <w:sz w:val="22"/>
          <w:szCs w:val="22"/>
          <w:lang w:eastAsia="en-US"/>
        </w:rPr>
        <w:t xml:space="preserve"> and also to participate, engage or collaborate in nature-recovery work — enhancing transparency and public engagement.</w:t>
      </w:r>
    </w:p>
    <w:p w14:paraId="4ABB134E" w14:textId="5150F8FA" w:rsidR="00E3484B" w:rsidRPr="00796EFE" w:rsidRDefault="001B0724" w:rsidP="004F05C3">
      <w:pPr>
        <w:pStyle w:val="NormalWeb"/>
        <w:spacing w:before="0" w:beforeAutospacing="0" w:after="180" w:afterAutospacing="0"/>
        <w:ind w:left="709" w:hanging="709"/>
        <w:rPr>
          <w:rFonts w:asciiTheme="minorHAnsi" w:eastAsiaTheme="minorHAnsi" w:hAnsiTheme="minorHAnsi" w:cstheme="minorBidi"/>
          <w:sz w:val="22"/>
          <w:szCs w:val="22"/>
          <w:lang w:eastAsia="en-US"/>
        </w:rPr>
      </w:pPr>
      <w:r w:rsidRPr="00796EFE">
        <w:rPr>
          <w:rFonts w:asciiTheme="minorHAnsi" w:eastAsiaTheme="minorHAnsi" w:hAnsiTheme="minorHAnsi" w:cstheme="minorBidi"/>
          <w:sz w:val="22"/>
          <w:szCs w:val="22"/>
          <w:lang w:eastAsia="en-US"/>
        </w:rPr>
        <w:t>•</w:t>
      </w:r>
      <w:r w:rsidRPr="00796EFE">
        <w:rPr>
          <w:rFonts w:asciiTheme="minorHAnsi" w:eastAsiaTheme="minorHAnsi" w:hAnsiTheme="minorHAnsi" w:cstheme="minorBidi"/>
          <w:sz w:val="22"/>
          <w:szCs w:val="22"/>
          <w:lang w:eastAsia="en-US"/>
        </w:rPr>
        <w:tab/>
      </w:r>
      <w:r w:rsidR="00A56E8C" w:rsidRPr="006F18FD">
        <w:rPr>
          <w:rFonts w:asciiTheme="minorHAnsi" w:eastAsiaTheme="minorHAnsi" w:hAnsiTheme="minorHAnsi" w:cstheme="minorBidi"/>
          <w:b/>
          <w:bCs/>
          <w:color w:val="2D0054" w:themeColor="accent1"/>
          <w:sz w:val="22"/>
          <w:szCs w:val="22"/>
          <w:lang w:eastAsia="en-US"/>
        </w:rPr>
        <w:t>A</w:t>
      </w:r>
      <w:r w:rsidRPr="006F18FD">
        <w:rPr>
          <w:rFonts w:asciiTheme="minorHAnsi" w:eastAsiaTheme="minorHAnsi" w:hAnsiTheme="minorHAnsi" w:cstheme="minorBidi"/>
          <w:b/>
          <w:bCs/>
          <w:color w:val="2D0054" w:themeColor="accent1"/>
          <w:sz w:val="22"/>
          <w:szCs w:val="22"/>
          <w:lang w:eastAsia="en-US"/>
        </w:rPr>
        <w:t>lign</w:t>
      </w:r>
      <w:r w:rsidR="00A56E8C" w:rsidRPr="006F18FD">
        <w:rPr>
          <w:rFonts w:asciiTheme="minorHAnsi" w:eastAsiaTheme="minorHAnsi" w:hAnsiTheme="minorHAnsi" w:cstheme="minorBidi"/>
          <w:b/>
          <w:bCs/>
          <w:color w:val="2D0054" w:themeColor="accent1"/>
          <w:sz w:val="22"/>
          <w:szCs w:val="22"/>
          <w:lang w:eastAsia="en-US"/>
        </w:rPr>
        <w:t xml:space="preserve">s </w:t>
      </w:r>
      <w:r w:rsidRPr="006F18FD">
        <w:rPr>
          <w:rFonts w:asciiTheme="minorHAnsi" w:eastAsiaTheme="minorHAnsi" w:hAnsiTheme="minorHAnsi" w:cstheme="minorBidi"/>
          <w:b/>
          <w:bCs/>
          <w:color w:val="2D0054" w:themeColor="accent1"/>
          <w:sz w:val="22"/>
          <w:szCs w:val="22"/>
          <w:lang w:eastAsia="en-US"/>
        </w:rPr>
        <w:t>local action with national biodiversity targets and initiatives</w:t>
      </w:r>
      <w:r w:rsidRPr="00796EFE">
        <w:rPr>
          <w:rFonts w:asciiTheme="minorHAnsi" w:eastAsiaTheme="minorHAnsi" w:hAnsiTheme="minorHAnsi" w:cstheme="minorBidi"/>
          <w:sz w:val="22"/>
          <w:szCs w:val="22"/>
          <w:lang w:eastAsia="en-US"/>
        </w:rPr>
        <w:t>, these reports help ensure collective progress towards reversing biodiversity loss across the country</w:t>
      </w:r>
    </w:p>
    <w:p w14:paraId="2C88CAEC" w14:textId="08689932" w:rsidR="009C3F0D" w:rsidRDefault="001241A8" w:rsidP="001241A8">
      <w:pPr>
        <w:pStyle w:val="Heading1"/>
        <w:numPr>
          <w:ilvl w:val="0"/>
          <w:numId w:val="20"/>
        </w:numPr>
      </w:pPr>
      <w:bookmarkStart w:id="4" w:name="_Toc216259236"/>
      <w:r w:rsidRPr="001241A8">
        <w:lastRenderedPageBreak/>
        <w:t>Policies, Objectives and Actions</w:t>
      </w:r>
      <w:bookmarkEnd w:id="4"/>
      <w:r w:rsidRPr="001241A8">
        <w:t xml:space="preserve"> </w:t>
      </w:r>
      <w:r w:rsidR="009C3F0D" w:rsidRPr="19F7AE6F">
        <w:t xml:space="preserve">  </w:t>
      </w:r>
    </w:p>
    <w:p w14:paraId="42F625C0" w14:textId="77777777" w:rsidR="00E3484B" w:rsidRDefault="00E3484B" w:rsidP="00E3484B"/>
    <w:p w14:paraId="534DC92A" w14:textId="5478272F" w:rsidR="008B749D" w:rsidRDefault="008B749D" w:rsidP="008B749D">
      <w:r>
        <w:t xml:space="preserve">Policies of note </w:t>
      </w:r>
      <w:proofErr w:type="gramStart"/>
      <w:r>
        <w:t>are;</w:t>
      </w:r>
      <w:proofErr w:type="gramEnd"/>
      <w:r>
        <w:t xml:space="preserve"> </w:t>
      </w:r>
    </w:p>
    <w:p w14:paraId="6A2B30B0" w14:textId="77777777" w:rsidR="008B749D" w:rsidRDefault="008B749D" w:rsidP="00BB0092">
      <w:pPr>
        <w:pStyle w:val="Heading2"/>
      </w:pPr>
      <w:r>
        <w:t>Climate and Environment Action Plan 2021-30</w:t>
      </w:r>
    </w:p>
    <w:p w14:paraId="15F7C760" w14:textId="7D0FCB2B" w:rsidR="008B749D" w:rsidRDefault="008B749D" w:rsidP="008B749D">
      <w:r>
        <w:t xml:space="preserve">This Climate and Environment Action Plan is in response to the Council’s Climate and Environment Strategy and their aspiration to achieve carbon neutral by 2030 across the Council controlled (in-house) operational activities. It also aims to work with partners to deliver carbon neutrality across South Derbyshire area (District-wide) before the UK Government’s carbon zero target of 2050. SDDC Climate and Environment Strategy 2021 – 2030. </w:t>
      </w:r>
    </w:p>
    <w:p w14:paraId="5DA875E1" w14:textId="42C85B9A" w:rsidR="008B749D" w:rsidRDefault="008B749D" w:rsidP="008B749D">
      <w:r>
        <w:t>Specific Action Plans required in respect of biodiversity:</w:t>
      </w:r>
    </w:p>
    <w:p w14:paraId="22BF27EF" w14:textId="77777777" w:rsidR="008B749D" w:rsidRDefault="008B749D" w:rsidP="008B749D">
      <w:r>
        <w:t>•</w:t>
      </w:r>
      <w:r>
        <w:tab/>
        <w:t>Alteration of grounds maintenance practices to maximise biodiversity gain (and reduce carbon use/increase carbon sequestration).</w:t>
      </w:r>
    </w:p>
    <w:p w14:paraId="1A6BC495" w14:textId="77777777" w:rsidR="008B749D" w:rsidRDefault="008B749D" w:rsidP="008B749D">
      <w:r>
        <w:t>•</w:t>
      </w:r>
      <w:r>
        <w:tab/>
        <w:t>Development of SDDC Action Plan for Nature to maximise biodiversity, carbon sequestration and climate adaption.</w:t>
      </w:r>
    </w:p>
    <w:p w14:paraId="336149EB" w14:textId="77777777" w:rsidR="008B749D" w:rsidRDefault="008B749D" w:rsidP="008B749D">
      <w:r>
        <w:t>•</w:t>
      </w:r>
      <w:r>
        <w:tab/>
        <w:t>Ongoing environmental training (Climate and Biodiversity) for SDDC councillors, managers, and staff.</w:t>
      </w:r>
    </w:p>
    <w:p w14:paraId="365D8248" w14:textId="77777777" w:rsidR="008B749D" w:rsidRDefault="008B749D" w:rsidP="008B749D">
      <w:r>
        <w:t>•</w:t>
      </w:r>
      <w:r>
        <w:tab/>
        <w:t>Support the development and implementation of the community engagement program for Climate and Biodiversity across South Derbyshire supporting the decarbonisation of South Derbyshire.</w:t>
      </w:r>
    </w:p>
    <w:p w14:paraId="3C5BC9B1" w14:textId="49D1BA7A" w:rsidR="008B749D" w:rsidRDefault="008B749D" w:rsidP="00BB0092">
      <w:pPr>
        <w:pStyle w:val="Heading2"/>
      </w:pPr>
      <w:r>
        <w:t>Corporate Plan for 202</w:t>
      </w:r>
      <w:r w:rsidR="00D050D1">
        <w:t>4</w:t>
      </w:r>
      <w:r>
        <w:t xml:space="preserve"> – 20</w:t>
      </w:r>
      <w:r w:rsidR="00AE7B99">
        <w:t>28</w:t>
      </w:r>
      <w:r>
        <w:t xml:space="preserve">  </w:t>
      </w:r>
    </w:p>
    <w:p w14:paraId="2855545C" w14:textId="69982668" w:rsidR="008B749D" w:rsidRDefault="008B749D" w:rsidP="008B749D">
      <w:r>
        <w:t xml:space="preserve">The Corporate Plan details vision and values which play an important role in ensuring that we deliver our services and care for the South Derbyshire District. The plan concentrates on the issues that are most important to the people who live and work in South Derbyshire, on national priorities set by the Government and on the opportunities and challenges presented by the environmental, economic, and social aspects of the district. We have identified our three key priorities as: Our Environment, Our People, Our Future. Our plan seeks to ensure that our District remains a great place to live, visit and invest. </w:t>
      </w:r>
    </w:p>
    <w:p w14:paraId="6C9204B7" w14:textId="434E3D47" w:rsidR="008B749D" w:rsidRDefault="008B749D" w:rsidP="008B749D">
      <w:r>
        <w:t xml:space="preserve">Our Environment – ‘Keeping a clean, green District for future generations’ and enhance biodiversity across the </w:t>
      </w:r>
      <w:proofErr w:type="gramStart"/>
      <w:r>
        <w:t>District</w:t>
      </w:r>
      <w:proofErr w:type="gramEnd"/>
      <w:r>
        <w:t>.</w:t>
      </w:r>
    </w:p>
    <w:p w14:paraId="38CBE2A2" w14:textId="77777777" w:rsidR="008B749D" w:rsidRDefault="008B749D" w:rsidP="000E4AB6">
      <w:pPr>
        <w:pStyle w:val="Heading2"/>
      </w:pPr>
      <w:r>
        <w:t>South Derbyshire District Council Environmental Policy</w:t>
      </w:r>
    </w:p>
    <w:p w14:paraId="00C227F6" w14:textId="30684981" w:rsidR="008B749D" w:rsidRDefault="008B749D" w:rsidP="008B749D">
      <w:r>
        <w:t xml:space="preserve">The Council is committed to delivering all its public services in a sustainable manner. This will not just reduce its impacts on the environment but lead to environmental enhancement. It will also lead to improvements in health, wellbeing, and the economy both within and beyond the Council’s administrative borders. </w:t>
      </w:r>
    </w:p>
    <w:p w14:paraId="3383CA4E" w14:textId="477DAB00" w:rsidR="008B749D" w:rsidRDefault="008B749D" w:rsidP="008B749D">
      <w:r>
        <w:t>SDDC is committed to leading environmental improvement and embedding this across its services and the district through:</w:t>
      </w:r>
    </w:p>
    <w:p w14:paraId="61F4E62E" w14:textId="77777777" w:rsidR="008B749D" w:rsidRDefault="008B749D" w:rsidP="008B749D">
      <w:r>
        <w:t>•</w:t>
      </w:r>
      <w:r>
        <w:tab/>
        <w:t>Protecting, conserving, and enhancing South Derbyshire’s natural, historic, and cultural surroundings and enhancing biodiversity</w:t>
      </w:r>
    </w:p>
    <w:p w14:paraId="0B2F61DF" w14:textId="77777777" w:rsidR="008B749D" w:rsidRDefault="008B749D" w:rsidP="00BB0092">
      <w:pPr>
        <w:pStyle w:val="Heading2"/>
      </w:pPr>
      <w:r>
        <w:lastRenderedPageBreak/>
        <w:t>South Derbyshire Local Green Spaces Plan</w:t>
      </w:r>
    </w:p>
    <w:p w14:paraId="33CA5A11" w14:textId="0CC4F5D3" w:rsidR="008B749D" w:rsidRDefault="008B749D" w:rsidP="008B749D">
      <w:r>
        <w:t xml:space="preserve">The planning policies for South Derbyshire are set out in a two-part Local Plan. The Local Plan Part 1 was adopted in June </w:t>
      </w:r>
      <w:proofErr w:type="gramStart"/>
      <w:r>
        <w:t>2016</w:t>
      </w:r>
      <w:proofErr w:type="gramEnd"/>
      <w:r>
        <w:t xml:space="preserve"> and the Part 2 was adopted in November 2017. 1.2 Local Green Spaces were introduced with the National Planning Policy Framework (NPPF). Whilst Local Green Spaces are not strictly defined in the NPPF, paragraph 100 sets out that the designation of local green spaces should only be made where the local green space is: In reasonably close proximity to the community it serves;  demonstrably special to a local community and holds a particular local significance, for example because of its beauty, historic significance, recreational value (including as a playing field), tranquillity or richness of its wildlife; and local in character and is not an extensive tract of land.</w:t>
      </w:r>
    </w:p>
    <w:p w14:paraId="74EDFE89" w14:textId="77777777" w:rsidR="008B749D" w:rsidRDefault="008B749D" w:rsidP="00BB0092">
      <w:pPr>
        <w:pStyle w:val="Heading2"/>
      </w:pPr>
      <w:r>
        <w:t xml:space="preserve">Policy LGS1: Development on Local Green Spaces </w:t>
      </w:r>
    </w:p>
    <w:p w14:paraId="694ACF18" w14:textId="12B23EBE" w:rsidR="008B749D" w:rsidRDefault="008B749D" w:rsidP="008B749D">
      <w:r>
        <w:t>Development on Local Green Spaces Development, which is in accordance with Policy BNE8, will be supported on local green spaces where it will not unduly affect the openness and essential quality of the space, with consideration given to scale, design and location of the proposal.</w:t>
      </w:r>
    </w:p>
    <w:p w14:paraId="75F7B956" w14:textId="4FC7193A" w:rsidR="008B749D" w:rsidRDefault="008B749D" w:rsidP="008B749D">
      <w:r>
        <w:t xml:space="preserve">Proposals should demonstrate consideration of how they will: </w:t>
      </w:r>
    </w:p>
    <w:p w14:paraId="3B8E0E7B" w14:textId="77777777" w:rsidR="008B749D" w:rsidRDefault="008B749D" w:rsidP="008B749D">
      <w:r>
        <w:t>•</w:t>
      </w:r>
      <w:r>
        <w:tab/>
        <w:t xml:space="preserve">Protect, restore, and enhance biodiversity and/or access to biodiversity. </w:t>
      </w:r>
    </w:p>
    <w:p w14:paraId="53CE506F" w14:textId="77777777" w:rsidR="008B749D" w:rsidRDefault="008B749D" w:rsidP="00BB0092">
      <w:pPr>
        <w:pStyle w:val="Heading2"/>
      </w:pPr>
      <w:r>
        <w:t xml:space="preserve">Policy LGS2: Enhancement of Local Green Space </w:t>
      </w:r>
    </w:p>
    <w:p w14:paraId="016DFBCC" w14:textId="77777777" w:rsidR="0098302A" w:rsidRDefault="0098302A" w:rsidP="008B749D"/>
    <w:p w14:paraId="2CF0A4AB" w14:textId="23D6C5C6" w:rsidR="008B749D" w:rsidRDefault="008B749D" w:rsidP="008B749D">
      <w:r>
        <w:t xml:space="preserve">The Council will work positively with stakeholders to ensure the appropriate management of local green spaces. Opportunities will be sought to enhance local green spaces that could include: </w:t>
      </w:r>
    </w:p>
    <w:p w14:paraId="26E9EEA4" w14:textId="77777777" w:rsidR="008B749D" w:rsidRDefault="008B749D" w:rsidP="008B749D">
      <w:r>
        <w:t>•</w:t>
      </w:r>
      <w:r>
        <w:tab/>
        <w:t xml:space="preserve">Improvements to the long-term management of spaces through changes to site management regimes and the development of site management plans </w:t>
      </w:r>
    </w:p>
    <w:p w14:paraId="7774DE18" w14:textId="77777777" w:rsidR="008B749D" w:rsidRDefault="008B749D" w:rsidP="008B749D">
      <w:r>
        <w:t>•</w:t>
      </w:r>
      <w:r>
        <w:tab/>
        <w:t xml:space="preserve">Where appropriate support will be given to the registration of local green spaces as ‘receptor sites’ with the Environment Bank to allow financial contributions to be used to compensate for impacts on development sites elsewhere through habitat creation or management. </w:t>
      </w:r>
    </w:p>
    <w:p w14:paraId="59793AB9" w14:textId="540325E9" w:rsidR="008B749D" w:rsidRDefault="008B749D" w:rsidP="008B749D">
      <w:r>
        <w:t xml:space="preserve">Many of the sites designated as local green spaces are valued by local communities for their wildlife interest. Most of the sites reviewed through the site designation process have the potential to deliver biodiversity gains. Whether this is through small measures such as changing the mowing regime of sites; installing bird or bat boxes, or through large-scale habitat creation including tree planting, the Council will work positively and collaboratively with those landowners or managers seeking to deliver biodiversity gains on site. In addition, the space could be registered as a receptor site for BNG which would allow for the biodiversity gains on that space to be used as compensation against development sites in the </w:t>
      </w:r>
      <w:proofErr w:type="gramStart"/>
      <w:r>
        <w:t>District</w:t>
      </w:r>
      <w:proofErr w:type="gramEnd"/>
      <w:r>
        <w:t xml:space="preserve"> that are not necessarily able to show biodiversity gains. </w:t>
      </w:r>
    </w:p>
    <w:p w14:paraId="1ACEBCBA" w14:textId="69274CA5" w:rsidR="008B749D" w:rsidRDefault="008B749D" w:rsidP="008B749D">
      <w:r>
        <w:t>Where new built facilities or other development is proposed that could harm biodiversity within a designated site proposals will be determined in accordance with the provisions of Policy BNE3 (Biodiversity) and Policy BNE7 (Trees, Woodland, and Hedgerows) of the Adopted Local Plan.</w:t>
      </w:r>
    </w:p>
    <w:p w14:paraId="082AE62B" w14:textId="77777777" w:rsidR="008B749D" w:rsidRDefault="008B749D" w:rsidP="009271CD">
      <w:pPr>
        <w:pStyle w:val="Heading2"/>
      </w:pPr>
      <w:r>
        <w:lastRenderedPageBreak/>
        <w:t xml:space="preserve">Policy BNE8 Local Green Space </w:t>
      </w:r>
    </w:p>
    <w:p w14:paraId="70CCB4BE" w14:textId="77777777" w:rsidR="008B749D" w:rsidRDefault="008B749D" w:rsidP="008B749D">
      <w:r>
        <w:t>6.14</w:t>
      </w:r>
      <w:r>
        <w:tab/>
        <w:t xml:space="preserve">Local Green Spaces will be protected from development except in very special circumstances or for the following limited types of development where they preserve the openness of the Local Green Space and do not harm the purpose for its designation: </w:t>
      </w:r>
    </w:p>
    <w:p w14:paraId="783ED4E8" w14:textId="77777777" w:rsidR="008B749D" w:rsidRDefault="008B749D" w:rsidP="008B749D">
      <w:r>
        <w:t>•</w:t>
      </w:r>
      <w:r>
        <w:tab/>
        <w:t xml:space="preserve">The construction of a new building providing essential facilities for outdoor sport, outdoor recreation, cemeteries, allotments or other uses of the open </w:t>
      </w:r>
      <w:proofErr w:type="gramStart"/>
      <w:r>
        <w:t>land;</w:t>
      </w:r>
      <w:proofErr w:type="gramEnd"/>
      <w:r>
        <w:t xml:space="preserve"> </w:t>
      </w:r>
    </w:p>
    <w:p w14:paraId="1D7ABA1A" w14:textId="77777777" w:rsidR="008B749D" w:rsidRDefault="008B749D" w:rsidP="008B749D">
      <w:r>
        <w:t>•</w:t>
      </w:r>
      <w:r>
        <w:tab/>
        <w:t xml:space="preserve">The carrying out of an engineering or other operation. Designations of Local Green Spaces will be made through a separate Development Plan Document or Neighbourhood Development Plan. </w:t>
      </w:r>
    </w:p>
    <w:p w14:paraId="084227A1" w14:textId="77777777" w:rsidR="008B749D" w:rsidRDefault="008B749D" w:rsidP="008B749D">
      <w:r>
        <w:t>•</w:t>
      </w:r>
      <w:r>
        <w:tab/>
        <w:t>The Council will work to enhance the biodiversity, heritage, recreation, and tranquillity value and where possible the public accessibility of Local Green Spaces through appropriate site management.</w:t>
      </w:r>
    </w:p>
    <w:p w14:paraId="6CF6F718" w14:textId="77777777" w:rsidR="008B749D" w:rsidRDefault="008B749D" w:rsidP="009271CD">
      <w:pPr>
        <w:pStyle w:val="Heading2"/>
      </w:pPr>
      <w:r>
        <w:t xml:space="preserve">Local Plan Part 1  </w:t>
      </w:r>
    </w:p>
    <w:p w14:paraId="597248FB" w14:textId="77777777" w:rsidR="008B749D" w:rsidRDefault="008B749D" w:rsidP="009271CD">
      <w:pPr>
        <w:pStyle w:val="Heading2"/>
      </w:pPr>
      <w:r>
        <w:t xml:space="preserve">Policy SD2 Flood Risk </w:t>
      </w:r>
    </w:p>
    <w:p w14:paraId="1066A95E" w14:textId="406D6688" w:rsidR="008B749D" w:rsidRDefault="008B749D" w:rsidP="008B749D">
      <w:r>
        <w:t>Where new flood related infrastructure is proposed opportunities for delivering environmental improvements including biodiversity gain and green infrastructure delivery should be fully considered by those delivering the project.</w:t>
      </w:r>
    </w:p>
    <w:p w14:paraId="4D7C2901" w14:textId="77777777" w:rsidR="008B749D" w:rsidRDefault="008B749D" w:rsidP="00827B94">
      <w:pPr>
        <w:pStyle w:val="Heading2"/>
      </w:pPr>
      <w:r>
        <w:t xml:space="preserve">Policy SD3 Sustainable Water Supply, Drainage and Sewerage Infrastructure </w:t>
      </w:r>
    </w:p>
    <w:p w14:paraId="2F3DEB7F" w14:textId="5ED51340" w:rsidR="008B749D" w:rsidRDefault="008B749D" w:rsidP="008B749D">
      <w:r>
        <w:t>In bringing forward SUDS, as a means of managing surface water run-off, developers will be expected to design schemes to improve river water quality and reduce pressure on local drainage infrastructure and deliver biodiversity gain on sites.</w:t>
      </w:r>
    </w:p>
    <w:p w14:paraId="758042B2" w14:textId="77777777" w:rsidR="008B749D" w:rsidRDefault="008B749D" w:rsidP="009271CD">
      <w:pPr>
        <w:pStyle w:val="Heading2"/>
      </w:pPr>
      <w:r>
        <w:t xml:space="preserve">Policy BNE3 Biodiversity </w:t>
      </w:r>
    </w:p>
    <w:p w14:paraId="548BA584" w14:textId="6DA8D3D5" w:rsidR="008B749D" w:rsidRDefault="008B749D" w:rsidP="008B749D">
      <w:r>
        <w:t xml:space="preserve">The Local Planning Authority will support development which contributes to the protection, enhancement, management and restoration of biodiversity or geodiversity and delivers net gains in biodiversity wherever possible by: </w:t>
      </w:r>
    </w:p>
    <w:p w14:paraId="0C59A6BA" w14:textId="44030944" w:rsidR="008B749D" w:rsidRDefault="008B749D" w:rsidP="008B749D">
      <w:r>
        <w:t>Protecting sites of International, European, National and County importance, together with local nature reserves, from inappropriate development within and adjacent to sites.</w:t>
      </w:r>
    </w:p>
    <w:p w14:paraId="665DE504" w14:textId="1F3178F6" w:rsidR="008B749D" w:rsidRDefault="008B749D" w:rsidP="008B749D">
      <w:r>
        <w:t>Delivering long term plans to restore the River Mease Site of Special Scientific Interest (SSSI)/Special Area of Conservation (SAC) to a more natural condition and improve water quality within Mease and other catchments failing to meet Water Framework Directive objectives.</w:t>
      </w:r>
    </w:p>
    <w:p w14:paraId="3B27B42D" w14:textId="400DA3BA" w:rsidR="008B749D" w:rsidRDefault="008B749D" w:rsidP="008B749D">
      <w:r>
        <w:t xml:space="preserve">Developing and maintaining a District-wide ecological network of SSSI’s and local wildlife sites together with corridors and stepping-stones sites to support the integrity of the biodiversity network, prevent fragmentation, deliver ecosystem services, and enable biodiversity to respond and adapt to the impacts of climate change. </w:t>
      </w:r>
    </w:p>
    <w:p w14:paraId="7D38077F" w14:textId="01875A94" w:rsidR="008B749D" w:rsidRDefault="008B749D" w:rsidP="008B749D">
      <w:r>
        <w:t xml:space="preserve">Supporting and contributing to the targets set out in the Lowland Derbyshire and/or National Forest Biodiversity Action Plan (BAP) for priority habitats and species. </w:t>
      </w:r>
    </w:p>
    <w:p w14:paraId="69849B94" w14:textId="7CDE3037" w:rsidR="008B749D" w:rsidRDefault="008B749D" w:rsidP="008B749D">
      <w:r>
        <w:t>Protecting ancient woodland and veteran trees from loss, unless the need for, and benefits of, the development in that location clearly outweigh the loss.</w:t>
      </w:r>
    </w:p>
    <w:p w14:paraId="1F517421" w14:textId="74BE709C" w:rsidR="008B749D" w:rsidRDefault="008B749D" w:rsidP="008B749D">
      <w:r>
        <w:lastRenderedPageBreak/>
        <w:t xml:space="preserve">Planning proposals that could have a direct or indirect effect on sites with potential or actual ecological or geological importance including: </w:t>
      </w:r>
    </w:p>
    <w:p w14:paraId="12E0D707" w14:textId="77777777" w:rsidR="008B749D" w:rsidRDefault="008B749D" w:rsidP="008B749D">
      <w:r>
        <w:t>•</w:t>
      </w:r>
      <w:r>
        <w:tab/>
        <w:t xml:space="preserve">Internationally important sites </w:t>
      </w:r>
    </w:p>
    <w:p w14:paraId="56A5F47E" w14:textId="77777777" w:rsidR="008B749D" w:rsidRDefault="008B749D" w:rsidP="008B749D">
      <w:r>
        <w:t>•</w:t>
      </w:r>
      <w:r>
        <w:tab/>
        <w:t xml:space="preserve">Nationally important sites (such as SSSIs) </w:t>
      </w:r>
    </w:p>
    <w:p w14:paraId="37A17485" w14:textId="77777777" w:rsidR="008B749D" w:rsidRDefault="008B749D" w:rsidP="00B63A9E">
      <w:pPr>
        <w:ind w:left="720" w:hanging="720"/>
      </w:pPr>
      <w:r>
        <w:t>•</w:t>
      </w:r>
      <w:r>
        <w:tab/>
        <w:t xml:space="preserve">Sites of County importance (such as Local Nature Reserves, Local Wildlife Sites and Local Geological Sites) </w:t>
      </w:r>
    </w:p>
    <w:p w14:paraId="47FFD7A0" w14:textId="77777777" w:rsidR="008B749D" w:rsidRDefault="008B749D" w:rsidP="008B749D">
      <w:r>
        <w:t>•</w:t>
      </w:r>
      <w:r>
        <w:tab/>
        <w:t xml:space="preserve">Ancient woodlands, veteran trees, and hedgerows </w:t>
      </w:r>
    </w:p>
    <w:p w14:paraId="3CFFEFA4" w14:textId="77777777" w:rsidR="008B749D" w:rsidRDefault="008B749D" w:rsidP="008B749D">
      <w:r>
        <w:t>•</w:t>
      </w:r>
      <w:r>
        <w:tab/>
        <w:t xml:space="preserve">Priority habitats and species </w:t>
      </w:r>
    </w:p>
    <w:p w14:paraId="41992A3D" w14:textId="4A4AABDE" w:rsidR="008B749D" w:rsidRDefault="008B749D" w:rsidP="008B749D">
      <w:r>
        <w:t>Will need to be supported by appropriate surveys or assessments sufficient to allow the Authority to fully understand the likely impacts of the scheme and the mitigation proposed. Where mitigation measures, or exceptionally, compensation cannot sufficiently offset the significant harm resulting from the development and/or where the development can potentially be located on an alternative site that would cause less or no harm, planning permission will be refused.</w:t>
      </w:r>
    </w:p>
    <w:p w14:paraId="2BF640D3" w14:textId="77777777" w:rsidR="008B749D" w:rsidRDefault="008B749D" w:rsidP="008B749D">
      <w:r>
        <w:t xml:space="preserve">Reasoning  </w:t>
      </w:r>
    </w:p>
    <w:p w14:paraId="2121B040" w14:textId="454BBB1A" w:rsidR="008B749D" w:rsidRDefault="008B749D" w:rsidP="008B749D">
      <w:r>
        <w:t xml:space="preserve">The natural environment of the </w:t>
      </w:r>
      <w:proofErr w:type="gramStart"/>
      <w:r>
        <w:t>District</w:t>
      </w:r>
      <w:proofErr w:type="gramEnd"/>
      <w:r>
        <w:t xml:space="preserve"> remains under pressure from a combination of poor land management, agriculture, built development and disturbance. The River Mease, arguably the </w:t>
      </w:r>
      <w:proofErr w:type="gramStart"/>
      <w:r>
        <w:t>District’s</w:t>
      </w:r>
      <w:proofErr w:type="gramEnd"/>
      <w:r>
        <w:t xml:space="preserve"> most important wildlife site, is being negatively impacted by elevated levels of nutrients as result of discharges from local Waste Water Treatment Works, agriculture and urban diffuse pollution. Only 17% of the County’s SSSIs are in a favourable condition, with the remainder at best in an ‘unfavourable recovering’ condition, and in South Derbyshire less than a third of our 156 County Wildlife Sites are recorded as being positively managed for wildlife. Wildlife sites are generally dispersed with limited connectivity between them. It is in this context that the Council is seeking to deliver Government pledges to halt the loss of biodiversity by 2020, a key target of both the National Planning Policy Framework and Biodiversity 2020: A Strategy for England’s Wildlife and Ecosystem Services. </w:t>
      </w:r>
    </w:p>
    <w:p w14:paraId="247359AC" w14:textId="427C3E6B" w:rsidR="008B749D" w:rsidRDefault="008B749D" w:rsidP="008B749D">
      <w:r>
        <w:t xml:space="preserve">The scale of development growth in South Derbyshire over the Plan period is both a challenge and an opportunity. It is likely that in the short-term development will inevitably have a negative impact on biodiversity and geodiversity, but growth on the scale proposed provides real opportunities to deliver landscape scale change. Growth can provide enhanced linkages and green infrastructure by supporting projects such as the National Forest or environmental improvements within the Trent Valley. It can help secure the long-term management of sites; create opportunities to deliver biodiversity gain onsite by generating financial contributions, or development works which will contribute to the restoration and environmental enhancement of the local environment. </w:t>
      </w:r>
    </w:p>
    <w:p w14:paraId="7843EDD4" w14:textId="4CC33566" w:rsidR="008B749D" w:rsidRDefault="008B749D" w:rsidP="008B749D">
      <w:r>
        <w:t xml:space="preserve">The benefits growth can be reflected by a number of on-going projects within the </w:t>
      </w:r>
      <w:proofErr w:type="gramStart"/>
      <w:r>
        <w:t>District</w:t>
      </w:r>
      <w:proofErr w:type="gramEnd"/>
      <w:r>
        <w:t xml:space="preserve">. Minerals works along the Trent Valley have created new wildlife sites at Drakelow, Willington and Shardlow. Housing, employment and minerals developments in the south of the </w:t>
      </w:r>
      <w:proofErr w:type="gramStart"/>
      <w:r>
        <w:t>District</w:t>
      </w:r>
      <w:proofErr w:type="gramEnd"/>
      <w:r>
        <w:t xml:space="preserve"> have helped The National Forest Company and other partners positively change the local landscape </w:t>
      </w:r>
      <w:proofErr w:type="gramStart"/>
      <w:r>
        <w:t>and on the way</w:t>
      </w:r>
      <w:proofErr w:type="gramEnd"/>
      <w:r>
        <w:t xml:space="preserve"> have contributed to the planting of 8 million trees increasing forest cover from 6% in the early 1990’s to 20% in 2014, with almost a quarter of planting delivered through the planning system. The recently adopted River Mease Developer Contribution Scheme is ensuring new development does </w:t>
      </w:r>
      <w:r>
        <w:lastRenderedPageBreak/>
        <w:t xml:space="preserve">not lead to further deterioration of the SAC as a result of new development, by helping to restore the river to a more natural state and will, over time, contribute towards reducing damaging nutrients within the </w:t>
      </w:r>
      <w:proofErr w:type="gramStart"/>
      <w:r>
        <w:t>River</w:t>
      </w:r>
      <w:proofErr w:type="gramEnd"/>
      <w:r>
        <w:t xml:space="preserve">. </w:t>
      </w:r>
    </w:p>
    <w:p w14:paraId="6107CFC1" w14:textId="558CFCD4" w:rsidR="008B749D" w:rsidRDefault="008B749D" w:rsidP="008B749D">
      <w:r>
        <w:t xml:space="preserve">Where development is proposed that could have a significant impact on the environment, the Council will expect proposals to be accompanied by appropriate ecology surveys and/or geodiversity assessments. These will need to be undertaken by suitably qualified professionals, at the appropriate time of year and will include an assessment of the likely impacts of the proposal and any necessary mitigation or compensation measures, including where relevant improved public access and interpretation of findings. </w:t>
      </w:r>
    </w:p>
    <w:p w14:paraId="03BA1521" w14:textId="4C210E8A" w:rsidR="008B749D" w:rsidRDefault="008B749D" w:rsidP="008B749D">
      <w:r>
        <w:t xml:space="preserve">Where development could affect the River Mease SAC, the Council will expect developers to provide sufficient information as may be necessary to allow the Authority to undertake a Habitat Regulations Assessment. </w:t>
      </w:r>
    </w:p>
    <w:p w14:paraId="14C949B0" w14:textId="1FC26171" w:rsidR="008B749D" w:rsidRDefault="008B749D" w:rsidP="008B749D">
      <w:r>
        <w:t>Ancient woodland, together with ancient/veteran trees, represents an irreplaceable semi natural habitat that does not benefit from full statutory protection. The National Planning Policy Framework is supportive of ancient woodland and ancient trees and states that planning permission should be refused for development resulting in the loss or deterioration of irreplaceable habitats, including ancient woodland and the loss of aged or veteran trees found outside ancient woodland, unless the need for, and benefits of, the development in that location clearly outweigh the loss.</w:t>
      </w:r>
    </w:p>
    <w:p w14:paraId="091CAF58" w14:textId="77777777" w:rsidR="008B749D" w:rsidRDefault="008B749D" w:rsidP="00F96EC4">
      <w:pPr>
        <w:pStyle w:val="Heading2"/>
      </w:pPr>
      <w:r>
        <w:t xml:space="preserve">Policy INF7 Green Infrastructure </w:t>
      </w:r>
    </w:p>
    <w:p w14:paraId="2C7F849C" w14:textId="77777777" w:rsidR="008B749D" w:rsidRDefault="008B749D" w:rsidP="008B749D">
      <w:r>
        <w:t>6.31</w:t>
      </w:r>
      <w:r>
        <w:tab/>
        <w:t xml:space="preserve">The District Council will seek to conserve, enhance and wherever possible extend green infrastructure in the </w:t>
      </w:r>
      <w:proofErr w:type="gramStart"/>
      <w:r>
        <w:t>District</w:t>
      </w:r>
      <w:proofErr w:type="gramEnd"/>
      <w:r>
        <w:t xml:space="preserve"> by working with partners to: </w:t>
      </w:r>
    </w:p>
    <w:p w14:paraId="330F0CA5" w14:textId="77777777" w:rsidR="008B749D" w:rsidRDefault="008B749D" w:rsidP="008B749D">
      <w:r>
        <w:t>•</w:t>
      </w:r>
      <w:r>
        <w:tab/>
        <w:t xml:space="preserve">Ensure the continued protection of the </w:t>
      </w:r>
      <w:proofErr w:type="gramStart"/>
      <w:r>
        <w:t>District’s</w:t>
      </w:r>
      <w:proofErr w:type="gramEnd"/>
      <w:r>
        <w:t xml:space="preserve"> ecological, biological and geological assets, with particular regard to sites and species of international, national and local </w:t>
      </w:r>
      <w:proofErr w:type="gramStart"/>
      <w:r>
        <w:t>significance;</w:t>
      </w:r>
      <w:proofErr w:type="gramEnd"/>
      <w:r>
        <w:t xml:space="preserve"> </w:t>
      </w:r>
    </w:p>
    <w:p w14:paraId="6364E3B7" w14:textId="77777777" w:rsidR="008B749D" w:rsidRDefault="008B749D" w:rsidP="008B749D">
      <w:r>
        <w:t>•</w:t>
      </w:r>
      <w:r>
        <w:tab/>
        <w:t>Secure development that maximises the opportunities to conserve, enhance and restore biodiversity and geological diversity and to increase provision of, and access to, green infrastructure.</w:t>
      </w:r>
    </w:p>
    <w:p w14:paraId="3080D227" w14:textId="77777777" w:rsidR="008B749D" w:rsidRDefault="008B749D" w:rsidP="008B749D">
      <w:r>
        <w:t>•</w:t>
      </w:r>
      <w:r>
        <w:tab/>
        <w:t xml:space="preserve">Promote the appropriate management of features of major importance for wild flora and fauna. </w:t>
      </w:r>
    </w:p>
    <w:p w14:paraId="590AE082" w14:textId="77777777" w:rsidR="008B749D" w:rsidRDefault="008B749D" w:rsidP="008B749D">
      <w:r>
        <w:t>•</w:t>
      </w:r>
      <w:r>
        <w:tab/>
        <w:t xml:space="preserve">Support the development of the Green Infrastructure Network as proposed by the 6Cs Green Infrastructure Strategy, linking together Key Strategic Routes of regional and sub regional importance and providing for, in appropriate locations, visitor infrastructure that improves accessibility. The District Council will promote improved green infrastructure provision in the following opportunity areas: </w:t>
      </w:r>
    </w:p>
    <w:p w14:paraId="1153B9DD" w14:textId="77777777" w:rsidR="008B749D" w:rsidRDefault="008B749D" w:rsidP="008B749D">
      <w:r>
        <w:t>•</w:t>
      </w:r>
      <w:r>
        <w:tab/>
        <w:t xml:space="preserve">Trent Strategic River / Trent &amp; Mersey Canal Corridor. </w:t>
      </w:r>
    </w:p>
    <w:p w14:paraId="540E1692" w14:textId="77777777" w:rsidR="008B749D" w:rsidRDefault="008B749D" w:rsidP="008B749D">
      <w:r>
        <w:t>•</w:t>
      </w:r>
      <w:r>
        <w:tab/>
        <w:t xml:space="preserve">Derwent Strategic River Corridor. </w:t>
      </w:r>
    </w:p>
    <w:p w14:paraId="3B84BD39" w14:textId="77777777" w:rsidR="008B749D" w:rsidRDefault="008B749D" w:rsidP="008B749D">
      <w:r>
        <w:t>•</w:t>
      </w:r>
      <w:r>
        <w:tab/>
        <w:t xml:space="preserve">Dove Strategic River Corridor. </w:t>
      </w:r>
    </w:p>
    <w:p w14:paraId="6E5C19E8" w14:textId="77777777" w:rsidR="008B749D" w:rsidRDefault="008B749D" w:rsidP="008B749D">
      <w:r>
        <w:t>•</w:t>
      </w:r>
      <w:r>
        <w:tab/>
        <w:t xml:space="preserve">Within the National Forest Area. </w:t>
      </w:r>
    </w:p>
    <w:p w14:paraId="5E5AD031" w14:textId="77777777" w:rsidR="008B749D" w:rsidRDefault="008B749D" w:rsidP="008B749D">
      <w:r>
        <w:t>•</w:t>
      </w:r>
      <w:r>
        <w:tab/>
        <w:t xml:space="preserve">Around the edges of Derby City and Swadlincote. </w:t>
      </w:r>
    </w:p>
    <w:p w14:paraId="5CF1CBD4" w14:textId="77777777" w:rsidR="008B749D" w:rsidRDefault="008B749D" w:rsidP="008B749D">
      <w:r>
        <w:lastRenderedPageBreak/>
        <w:t>•</w:t>
      </w:r>
      <w:r>
        <w:tab/>
        <w:t xml:space="preserve">Positively view proposals that seek to enhance the District’s Green Infrastructure resource in support of tourism and leisure related development. </w:t>
      </w:r>
    </w:p>
    <w:p w14:paraId="432570A9" w14:textId="2E179CBA" w:rsidR="008B749D" w:rsidRDefault="008B749D" w:rsidP="008B749D">
      <w:r>
        <w:t xml:space="preserve">Within the Trent Valley, or other locally determined Nature Improvement Area, the District Council will support and help deliver the landscape scale change as promoted by the Lowland Derbyshire and Nottinghamshire Local Nature Partnership. Any development within the area defined by the Trent Valley Vision will be expected to contribute towards and assist in delivering the vision in accordance with the strategy. Such contributions may be in the form of appropriate design, suitable form and function, the delivery of Green Infrastructure, landscape and habitat enhancement, financial contributions, or other mechanisms as appropriate, to deliver an overall benefit within the Trent Valley Vision area. </w:t>
      </w:r>
    </w:p>
    <w:p w14:paraId="0E5FEBC6" w14:textId="33BD9481" w:rsidR="008B749D" w:rsidRDefault="008B749D" w:rsidP="008B749D">
      <w:r>
        <w:t>All proposals for development within the catchment for the River Mease will need to demonstrate that they will have no adverse effects on the integrity of the Special Area of Conservation (SAC) either alone or in combination with other proposals and will contribute to long-term objectives to improve the condition of the site.</w:t>
      </w:r>
    </w:p>
    <w:p w14:paraId="10E4BF62" w14:textId="77777777" w:rsidR="008B749D" w:rsidRDefault="008B749D" w:rsidP="00796CAA">
      <w:pPr>
        <w:pStyle w:val="Heading2"/>
      </w:pPr>
      <w:r>
        <w:t>Policy INF3 Strategic Rail Freight Interchange</w:t>
      </w:r>
    </w:p>
    <w:p w14:paraId="328ECBC6" w14:textId="5769B4FE" w:rsidR="008B749D" w:rsidRDefault="008B749D" w:rsidP="008B749D">
      <w:r>
        <w:t>Any proposal for the development of a Strategic Rail Freight Interchange shall meet all the following criteria:</w:t>
      </w:r>
    </w:p>
    <w:p w14:paraId="2B2C351C" w14:textId="77777777" w:rsidR="008B749D" w:rsidRDefault="008B749D" w:rsidP="008B749D">
      <w:r>
        <w:t>•</w:t>
      </w:r>
      <w:r>
        <w:tab/>
        <w:t xml:space="preserve">The proposal shall not cause undue harm to </w:t>
      </w:r>
      <w:proofErr w:type="gramStart"/>
      <w:r>
        <w:t>features</w:t>
      </w:r>
      <w:proofErr w:type="gramEnd"/>
      <w:r>
        <w:t xml:space="preserve"> of ecological or environmental value and, where possible, shall result in biodiversity gain and enhanced environmental value.</w:t>
      </w:r>
    </w:p>
    <w:p w14:paraId="59FE4644" w14:textId="77777777" w:rsidR="008B749D" w:rsidRDefault="008B749D" w:rsidP="00B27D4F">
      <w:pPr>
        <w:pStyle w:val="Heading2"/>
      </w:pPr>
      <w:r>
        <w:t>Policy INF9 Open Space, Sport and Recreation</w:t>
      </w:r>
    </w:p>
    <w:p w14:paraId="0ADA8968" w14:textId="187DCA2A" w:rsidR="008B749D" w:rsidRDefault="008B749D" w:rsidP="008B749D">
      <w:r>
        <w:t>Wherever possible the Council will expect new open spaces to connect to existing Green Infrastructure to improve accessibility across and between sites and enhance the biodiversity.</w:t>
      </w:r>
    </w:p>
    <w:p w14:paraId="7CD60111" w14:textId="77777777" w:rsidR="008B749D" w:rsidRDefault="008B749D" w:rsidP="00B74397">
      <w:pPr>
        <w:pStyle w:val="Heading2"/>
      </w:pPr>
      <w:r>
        <w:t xml:space="preserve">Policy H22 Sites for Gypsies and Travellers and for Travelling Show-People </w:t>
      </w:r>
    </w:p>
    <w:p w14:paraId="38F3E269" w14:textId="56AD2242" w:rsidR="008B749D" w:rsidRDefault="008B749D" w:rsidP="008B749D">
      <w:r>
        <w:t>Development does not result in an unacceptable impact on the local environment, including biodiversity, heritage assets or conservation, the surrounding landscape (unless capable of sympathetic assimilation) and compatibility with 89 surrounding land uses.</w:t>
      </w:r>
    </w:p>
    <w:p w14:paraId="7F41AC15" w14:textId="77777777" w:rsidR="008B749D" w:rsidRDefault="008B749D" w:rsidP="00B74397">
      <w:pPr>
        <w:pStyle w:val="Heading2"/>
      </w:pPr>
      <w:r>
        <w:t xml:space="preserve">Local Plan Part 2 </w:t>
      </w:r>
    </w:p>
    <w:p w14:paraId="1573AEF2" w14:textId="77777777" w:rsidR="008B749D" w:rsidRDefault="008B749D" w:rsidP="00B27D4F">
      <w:pPr>
        <w:pStyle w:val="Heading2"/>
      </w:pPr>
      <w:r>
        <w:t xml:space="preserve">Policy H23 Non-Strategic Housing Allocations </w:t>
      </w:r>
    </w:p>
    <w:p w14:paraId="120B4392" w14:textId="45E8DB47" w:rsidR="008B749D" w:rsidRDefault="008B749D" w:rsidP="008B749D">
      <w:r>
        <w:t>The following sites are allocated for housing development as shown on the Policies Map and in the site-specific maps under Policies 23A-N:</w:t>
      </w:r>
    </w:p>
    <w:p w14:paraId="552C00B8" w14:textId="157E870F" w:rsidR="008B749D" w:rsidRDefault="008B749D" w:rsidP="008B749D">
      <w:r>
        <w:t xml:space="preserve">The key considerations for each of the sites are: </w:t>
      </w:r>
    </w:p>
    <w:p w14:paraId="14247407" w14:textId="77777777" w:rsidR="008B749D" w:rsidRDefault="008B749D" w:rsidP="008B749D">
      <w:r>
        <w:t>•</w:t>
      </w:r>
      <w:r>
        <w:tab/>
        <w:t>Biodiversity impacts</w:t>
      </w:r>
    </w:p>
    <w:p w14:paraId="5583FA92" w14:textId="77777777" w:rsidR="008B749D" w:rsidRDefault="008B749D" w:rsidP="00B27D4F">
      <w:pPr>
        <w:pStyle w:val="Heading2"/>
      </w:pPr>
      <w:r>
        <w:t xml:space="preserve">Policy BNE5 Development in Rural Areas </w:t>
      </w:r>
    </w:p>
    <w:p w14:paraId="43309E90" w14:textId="1374FCD4" w:rsidR="008B749D" w:rsidRDefault="008B749D" w:rsidP="008B749D">
      <w:r>
        <w:t>Outside of settlement boundaries (as defined in policy SDT1) within the Rural Areas of the district planning permission will be granted where the development:</w:t>
      </w:r>
    </w:p>
    <w:p w14:paraId="3B3FC6E4" w14:textId="77777777" w:rsidR="008B749D" w:rsidRDefault="008B749D" w:rsidP="00602AA1">
      <w:pPr>
        <w:ind w:left="720" w:hanging="720"/>
      </w:pPr>
      <w:r>
        <w:t>•</w:t>
      </w:r>
      <w:r>
        <w:tab/>
        <w:t>Will not unduly impact on landscape character and quality, biodiversity, best and most versatile agricultural land, and heritage assets.</w:t>
      </w:r>
    </w:p>
    <w:p w14:paraId="18BDE4BC" w14:textId="77777777" w:rsidR="008B749D" w:rsidRDefault="008B749D" w:rsidP="00B27D4F">
      <w:pPr>
        <w:pStyle w:val="Heading2"/>
      </w:pPr>
      <w:r>
        <w:lastRenderedPageBreak/>
        <w:t xml:space="preserve">Policy BNE7 Trees, Woodland and Hedgerows </w:t>
      </w:r>
    </w:p>
    <w:p w14:paraId="47FCB3D9" w14:textId="77777777" w:rsidR="008B749D" w:rsidRDefault="008B749D" w:rsidP="008B749D">
      <w:r>
        <w:t>6.40</w:t>
      </w:r>
      <w:r>
        <w:tab/>
        <w:t xml:space="preserve">Where development is proposed that could affect trees, woodland and/or hedgerows which are important in terms of their amenity, ecological, landscape or historic value, developers will be expected to demonstrate that: </w:t>
      </w:r>
    </w:p>
    <w:p w14:paraId="448C6479" w14:textId="77777777" w:rsidR="008B749D" w:rsidRDefault="008B749D" w:rsidP="00602AA1">
      <w:pPr>
        <w:ind w:left="720" w:hanging="720"/>
      </w:pPr>
      <w:r>
        <w:t>•</w:t>
      </w:r>
      <w:r>
        <w:tab/>
        <w:t xml:space="preserve">The layout and form of development have been informed by an appropriate </w:t>
      </w:r>
      <w:proofErr w:type="spellStart"/>
      <w:r>
        <w:t>arboricultural</w:t>
      </w:r>
      <w:proofErr w:type="spellEnd"/>
      <w:r>
        <w:t xml:space="preserve"> and/or hedgerow surveys. </w:t>
      </w:r>
    </w:p>
    <w:p w14:paraId="58F74B39" w14:textId="77777777" w:rsidR="008B749D" w:rsidRDefault="008B749D" w:rsidP="008B749D">
      <w:r>
        <w:t>•</w:t>
      </w:r>
      <w:r>
        <w:tab/>
        <w:t>Development would not suffer from undue shading either now or in the future.</w:t>
      </w:r>
    </w:p>
    <w:p w14:paraId="220DBEAC" w14:textId="77777777" w:rsidR="008B749D" w:rsidRDefault="008B749D" w:rsidP="00602AA1">
      <w:pPr>
        <w:ind w:left="720" w:hanging="720"/>
      </w:pPr>
      <w:r>
        <w:t>•</w:t>
      </w:r>
      <w:r>
        <w:tab/>
        <w:t xml:space="preserve">Appropriate measures are secured to ensure adequate root protection and buffers around trees, woodland, and hedgerows. </w:t>
      </w:r>
    </w:p>
    <w:p w14:paraId="045894B8" w14:textId="782B3234" w:rsidR="008B749D" w:rsidRDefault="008B749D" w:rsidP="008B749D">
      <w:r>
        <w:t xml:space="preserve">The felling of protected trees, groups of trees or woodland and/or removal of important hedgerows, will be considered in accordance with the relevant national guidance and regulations, taking account of their amenity, ecological, landscape and historic value. Where protected trees and/or hedgerows are subject to felling or removal, a replacement of an appropriate number, species, size and in an appropriate location will normally be required. </w:t>
      </w:r>
    </w:p>
    <w:p w14:paraId="554E0E37" w14:textId="4B436F14" w:rsidR="008B749D" w:rsidRDefault="008B749D" w:rsidP="008B749D">
      <w:r>
        <w:t xml:space="preserve">Development proposals which will have a detrimental effect on important trees, woodland or hedgerows must satisfactorily demonstrate how the impact on biodiversity has been minimised and, wherever possible, a net biodiversity gain delivered through appropriate mitigation, compensation, or offsetting, including through new planting or improved management of retained trees and hedgerows. New planting will be expected to be adequately managed to reach full maturity. </w:t>
      </w:r>
    </w:p>
    <w:p w14:paraId="2E8436BD" w14:textId="0BF4763D" w:rsidR="008B749D" w:rsidRDefault="008B749D" w:rsidP="008B749D">
      <w:r>
        <w:t>Where new planting is proposed on development sites, principal consideration should be given to planting tree species which are in keeping with the urban or rural character of the area. However, where appropriate, wider environmental or amenity benefits including improvements to local air quality, erosion control, land drainage or shading should be considered.</w:t>
      </w:r>
    </w:p>
    <w:p w14:paraId="2134B393" w14:textId="77777777" w:rsidR="008B749D" w:rsidRDefault="008B749D" w:rsidP="00796CAA">
      <w:pPr>
        <w:pStyle w:val="Heading2"/>
      </w:pPr>
      <w:r>
        <w:t>INF8 (The National Forest)</w:t>
      </w:r>
    </w:p>
    <w:p w14:paraId="7DD9C9BE" w14:textId="324F96B3" w:rsidR="008B749D" w:rsidRDefault="008B749D" w:rsidP="008B749D">
      <w:r>
        <w:t xml:space="preserve">The National Forest Strategy (2014-24) promotes planting guidelines relating to all forms of development in the National Forest. </w:t>
      </w:r>
    </w:p>
    <w:p w14:paraId="271D78D5" w14:textId="77777777" w:rsidR="008B749D" w:rsidRDefault="008B749D" w:rsidP="008B749D">
      <w:r>
        <w:t xml:space="preserve">Development Type </w:t>
      </w:r>
      <w:r>
        <w:tab/>
      </w:r>
      <w:r>
        <w:tab/>
      </w:r>
      <w:r>
        <w:tab/>
      </w:r>
      <w:r>
        <w:tab/>
        <w:t xml:space="preserve">Thresholds </w:t>
      </w:r>
      <w:r>
        <w:tab/>
      </w:r>
      <w:r>
        <w:tab/>
        <w:t>Forest Green Infrastructure</w:t>
      </w:r>
    </w:p>
    <w:p w14:paraId="30B15221" w14:textId="77777777" w:rsidR="008B749D" w:rsidRDefault="008B749D" w:rsidP="008B749D">
      <w:r>
        <w:t xml:space="preserve">Residential </w:t>
      </w:r>
      <w:r>
        <w:tab/>
      </w:r>
      <w:r>
        <w:tab/>
      </w:r>
      <w:r>
        <w:tab/>
      </w:r>
      <w:r>
        <w:tab/>
      </w:r>
      <w:r>
        <w:tab/>
        <w:t xml:space="preserve">0.5ha - 10ha </w:t>
      </w:r>
      <w:r>
        <w:tab/>
      </w:r>
      <w:r>
        <w:tab/>
        <w:t>20%</w:t>
      </w:r>
    </w:p>
    <w:p w14:paraId="1DA89229" w14:textId="77777777" w:rsidR="008B749D" w:rsidRDefault="008B749D" w:rsidP="008B749D">
      <w:r>
        <w:t xml:space="preserve">Employment </w:t>
      </w:r>
      <w:r>
        <w:tab/>
      </w:r>
      <w:r>
        <w:tab/>
        <w:t xml:space="preserve"> </w:t>
      </w:r>
      <w:r>
        <w:tab/>
      </w:r>
      <w:r>
        <w:tab/>
      </w:r>
      <w:r>
        <w:tab/>
        <w:t xml:space="preserve">1ha - 10ha </w:t>
      </w:r>
      <w:r>
        <w:tab/>
      </w:r>
      <w:r>
        <w:tab/>
        <w:t>20%</w:t>
      </w:r>
    </w:p>
    <w:p w14:paraId="66FBDE06" w14:textId="77777777" w:rsidR="008B749D" w:rsidRDefault="008B749D" w:rsidP="008B749D">
      <w:r>
        <w:t xml:space="preserve">All Development </w:t>
      </w:r>
      <w:r>
        <w:tab/>
      </w:r>
      <w:r>
        <w:tab/>
      </w:r>
      <w:r>
        <w:tab/>
      </w:r>
      <w:r>
        <w:tab/>
        <w:t xml:space="preserve">Over 10ha </w:t>
      </w:r>
      <w:r>
        <w:tab/>
      </w:r>
      <w:r>
        <w:tab/>
        <w:t>30%</w:t>
      </w:r>
    </w:p>
    <w:p w14:paraId="67816FAF" w14:textId="61641996" w:rsidR="008B749D" w:rsidRDefault="008B749D" w:rsidP="00D743D2">
      <w:pPr>
        <w:spacing w:after="0"/>
      </w:pPr>
      <w:r>
        <w:t xml:space="preserve">In exceptional circumstances, where planting cannot be accommodated to this scale within the </w:t>
      </w:r>
    </w:p>
    <w:p w14:paraId="6BA66ECE" w14:textId="77777777" w:rsidR="008B749D" w:rsidRDefault="008B749D" w:rsidP="00D743D2">
      <w:pPr>
        <w:spacing w:after="0"/>
      </w:pPr>
      <w:r>
        <w:t xml:space="preserve">development, the shortfall should be addressed by a contribution to off-site planting of £35,000 </w:t>
      </w:r>
    </w:p>
    <w:p w14:paraId="6AF5B3B1" w14:textId="77777777" w:rsidR="008B749D" w:rsidRDefault="008B749D" w:rsidP="00D743D2">
      <w:pPr>
        <w:spacing w:after="0"/>
      </w:pPr>
      <w:r>
        <w:t>per hectare secured through a Section 106 agreement.</w:t>
      </w:r>
    </w:p>
    <w:p w14:paraId="6EFB8C01" w14:textId="77777777" w:rsidR="008B749D" w:rsidRDefault="008B749D" w:rsidP="008B749D"/>
    <w:p w14:paraId="179EDB78" w14:textId="77777777" w:rsidR="00D743D2" w:rsidRDefault="00D743D2" w:rsidP="008B749D"/>
    <w:p w14:paraId="3BB1E90C" w14:textId="77777777" w:rsidR="00D743D2" w:rsidRDefault="00D743D2" w:rsidP="008B749D"/>
    <w:p w14:paraId="4336E232" w14:textId="77777777" w:rsidR="008B749D" w:rsidRDefault="008B749D" w:rsidP="00796CAA">
      <w:pPr>
        <w:pStyle w:val="Heading2"/>
      </w:pPr>
      <w:r>
        <w:lastRenderedPageBreak/>
        <w:t>Ecology Bill: Ecological Crisis Motion</w:t>
      </w:r>
    </w:p>
    <w:p w14:paraId="6149CCD3" w14:textId="0D9C5785" w:rsidR="008B749D" w:rsidRDefault="008B749D" w:rsidP="008B749D">
      <w:r>
        <w:t>This Council formally declares an ecological emergency in response to the ongoing threat to wildlife and ecosystems. The declaration recognises the essential role that nature plays and provides a statement of intent, to enhance and restore our natural landscape, local wildlife, rivers, streams, water resources, habitats and trees and resist the destruction of such habitats through a considered and sustainable local planning policy.</w:t>
      </w:r>
    </w:p>
    <w:p w14:paraId="28C69EE0" w14:textId="45AA85F3" w:rsidR="008B749D" w:rsidRDefault="008B749D" w:rsidP="008B749D">
      <w:r>
        <w:t>This motion will see the council add ecological considerations, together with any implications, alongside those for climate, sustainability, and nature recovery in our new corporate plan as strategic priorities embedded within all areas of council engagement.</w:t>
      </w:r>
    </w:p>
    <w:p w14:paraId="64FF1896" w14:textId="4A4926DB" w:rsidR="008B749D" w:rsidRDefault="00B74397" w:rsidP="008B749D">
      <w:r>
        <w:t>T</w:t>
      </w:r>
      <w:r w:rsidR="008B749D">
        <w:t>he Council will continue to collaborate with our communities, businesses and other organisations, existing networks, and partnerships to improve ecological literacy, encourage greater biodiversity, increase local sustainable food production to protect food security, tree planting and management.</w:t>
      </w:r>
    </w:p>
    <w:p w14:paraId="295F13AD" w14:textId="77777777" w:rsidR="008B749D" w:rsidRDefault="008B749D" w:rsidP="00796CAA">
      <w:pPr>
        <w:pStyle w:val="Heading2"/>
      </w:pPr>
      <w:r>
        <w:t xml:space="preserve">Action Plan for Nature </w:t>
      </w:r>
    </w:p>
    <w:p w14:paraId="3F829DE1" w14:textId="55C27964" w:rsidR="008B749D" w:rsidRDefault="008B749D" w:rsidP="008B749D">
      <w:r>
        <w:t xml:space="preserve">The Action Plan for Nature provides a strategic and spatial plan for nature’s recovery in the South Derbyshire District. The Action Plan for Nature determined strategically critical areas within the district for habitat enhancement, restoration, or creation, based on the three broad habitat types existing within the district; Grassland, Woodland and Wetland and has suggested key areas for habitat protection and expansion based on species movement and connectivity bottlenecks, providing spatial priorities for connectivity enhancement. </w:t>
      </w:r>
    </w:p>
    <w:p w14:paraId="10EF85E6" w14:textId="7AFA1DCE" w:rsidR="008B749D" w:rsidRDefault="008B749D" w:rsidP="008B749D">
      <w:r>
        <w:t xml:space="preserve">The key strategic areas identified in the modelling shows the suitability of sites for enhancement or creation and will be especially useful for determining biodiversity net gain schemes or planning decisions, to strengthen the nature recovery network and contribute positively towards ecosystem services. This information should feed into the Local Recovery Plan and determine future planning policy. </w:t>
      </w:r>
    </w:p>
    <w:p w14:paraId="4FF09521" w14:textId="59B3CA79" w:rsidR="008B749D" w:rsidRDefault="008B749D" w:rsidP="008B749D">
      <w:r>
        <w:t xml:space="preserve">Several geographical areas were identified as being strategically significant for enhancement or creation of all three broad habitat types and should provide the basis for nature recovery efforts going forward. These are the Trent Valley, Dove Valley and the Calke Park/Staunton Harold/Foremark area. </w:t>
      </w:r>
    </w:p>
    <w:p w14:paraId="5B960541" w14:textId="6D6AB2F4" w:rsidR="008B749D" w:rsidRDefault="008B749D" w:rsidP="008B749D">
      <w:r>
        <w:t xml:space="preserve">Two areas, Radbourne Park and Drakelow, were highlighted as being bottlenecks for species dispersal for more than one broad habitat type, which suggests they are of high importance for habitat protection, enhancement, and surrounding habitat creation. </w:t>
      </w:r>
    </w:p>
    <w:p w14:paraId="25546887" w14:textId="3778DCCB" w:rsidR="008B749D" w:rsidRDefault="008B749D" w:rsidP="008B749D">
      <w:r>
        <w:t xml:space="preserve">The South Derbyshire Action Plan for Nature aims to provide a recovery for nature and biodiversity; allowing projects to be strategically planned to maximise the benefit to nature, targeting key areas of connectivity and identifying where development is best placed to limit negative impacts. However, if integrated into policies, procedures, and partnerships, it has the potential to deliver huge, combined benefits, delivering essential ecosystem services such as flood reduction, pollination, cleaner water, carbon storage and access to nature for health and wellbeing. </w:t>
      </w:r>
    </w:p>
    <w:p w14:paraId="323ADBAF" w14:textId="77777777" w:rsidR="008B749D" w:rsidRDefault="008B749D" w:rsidP="00796CAA">
      <w:pPr>
        <w:pStyle w:val="Heading2"/>
      </w:pPr>
      <w:r>
        <w:t xml:space="preserve">Lowland South Derbyshire Biodiversity Action Plan </w:t>
      </w:r>
    </w:p>
    <w:p w14:paraId="170A9DD8" w14:textId="04A634BF" w:rsidR="008B749D" w:rsidRDefault="008B749D" w:rsidP="008B749D">
      <w:r>
        <w:t xml:space="preserve">The current Local Biodiversity Action Plan (LBAP) 2011-2020 examines the state of nature throughout lowland Derbyshire and sets targets for maintenance, restoration and expansion of habitats and species. South Derbyshire is covered by three Action Plans split by the landscape </w:t>
      </w:r>
      <w:r>
        <w:lastRenderedPageBreak/>
        <w:t xml:space="preserve">character areas: National Forest, Trent and Dove Valley and The </w:t>
      </w:r>
      <w:proofErr w:type="spellStart"/>
      <w:r>
        <w:t>Claylands</w:t>
      </w:r>
      <w:proofErr w:type="spellEnd"/>
      <w:r>
        <w:t>. The South Derbyshire Action Plan for Nature aims to build on the work of the LBAP, updating and combining the baseline data for the district and targeting the spatial opportunities.</w:t>
      </w:r>
    </w:p>
    <w:p w14:paraId="0D563612" w14:textId="77777777" w:rsidR="008B749D" w:rsidRDefault="008B749D" w:rsidP="00796CAA">
      <w:pPr>
        <w:pStyle w:val="Heading2"/>
      </w:pPr>
      <w:r>
        <w:t>South Derbyshire District National Character Areas</w:t>
      </w:r>
    </w:p>
    <w:p w14:paraId="0DF787F6" w14:textId="788DA7A5" w:rsidR="00E3484B" w:rsidRDefault="008B749D" w:rsidP="008B749D">
      <w:r>
        <w:t xml:space="preserve">The LBAP areas are simplified from the National Character Areas. South Derbyshire is predominantly agricultural in land use with mixed arable and pasture farming. A band of woodland exists in the centre of the district and small urban settlements are scattered with the largest town, Swadlincote, towards the south of the district. At a more detailed level the district varies from floodplain corridors to parklands of grand country houses. The district comprises five National Character Areas (NCAs) which are split relatively equally between; the </w:t>
      </w:r>
      <w:proofErr w:type="spellStart"/>
      <w:r>
        <w:t>Claylands</w:t>
      </w:r>
      <w:proofErr w:type="spellEnd"/>
      <w:r>
        <w:t>, Trent Valley Washlands, Melbourne Parklands, the Coalfields and Mease/ Sence Lowlands</w:t>
      </w:r>
    </w:p>
    <w:p w14:paraId="466A1789" w14:textId="77777777" w:rsidR="00A124DE" w:rsidRDefault="00A124DE" w:rsidP="00E3297F"/>
    <w:p w14:paraId="315BAE0D" w14:textId="77777777" w:rsidR="00A124DE" w:rsidRDefault="00A124DE" w:rsidP="00E3297F"/>
    <w:p w14:paraId="61174432" w14:textId="77777777" w:rsidR="00A124DE" w:rsidRDefault="00A124DE" w:rsidP="00E3297F"/>
    <w:p w14:paraId="5BECD323" w14:textId="77777777" w:rsidR="00E3484B" w:rsidRDefault="00E3484B" w:rsidP="00E3484B"/>
    <w:p w14:paraId="428066AB" w14:textId="77777777" w:rsidR="00E3484B" w:rsidRDefault="00E3484B" w:rsidP="00E3484B"/>
    <w:p w14:paraId="119B60CA" w14:textId="77777777" w:rsidR="00E3484B" w:rsidRDefault="00E3484B" w:rsidP="00E3484B"/>
    <w:p w14:paraId="45BCCF2F" w14:textId="77777777" w:rsidR="003539ED" w:rsidRDefault="003539ED" w:rsidP="00E3484B"/>
    <w:p w14:paraId="7B9B45F4" w14:textId="77777777" w:rsidR="003539ED" w:rsidRDefault="003539ED" w:rsidP="00E3484B"/>
    <w:p w14:paraId="00A53604" w14:textId="77777777" w:rsidR="003539ED" w:rsidRDefault="003539ED" w:rsidP="00E3484B"/>
    <w:p w14:paraId="29DD40ED" w14:textId="77777777" w:rsidR="003539ED" w:rsidRDefault="003539ED" w:rsidP="00E3484B"/>
    <w:p w14:paraId="1BD647EC" w14:textId="77777777" w:rsidR="003539ED" w:rsidRDefault="003539ED" w:rsidP="00E3484B"/>
    <w:p w14:paraId="24CC95B7" w14:textId="77777777" w:rsidR="00E3484B" w:rsidRDefault="00E3484B" w:rsidP="00E3484B"/>
    <w:p w14:paraId="053588DE" w14:textId="77777777" w:rsidR="00E3484B" w:rsidRDefault="00E3484B" w:rsidP="00E3484B"/>
    <w:p w14:paraId="446B5FDB" w14:textId="77777777" w:rsidR="00E3484B" w:rsidRDefault="00E3484B" w:rsidP="00E3484B"/>
    <w:p w14:paraId="63667493" w14:textId="77777777" w:rsidR="00657E75" w:rsidRDefault="00657E75" w:rsidP="00E3484B"/>
    <w:p w14:paraId="617333B7" w14:textId="77777777" w:rsidR="00657E75" w:rsidRDefault="00657E75" w:rsidP="00E3484B"/>
    <w:p w14:paraId="14FB5DA1" w14:textId="77777777" w:rsidR="00657E75" w:rsidRDefault="00657E75" w:rsidP="00E3484B"/>
    <w:p w14:paraId="7D7BC5C4" w14:textId="77777777" w:rsidR="00E3484B" w:rsidRDefault="00E3484B" w:rsidP="00E3484B"/>
    <w:p w14:paraId="68DE0513" w14:textId="77777777" w:rsidR="00E3484B" w:rsidRDefault="00E3484B" w:rsidP="00E3484B"/>
    <w:p w14:paraId="4E83C8BC" w14:textId="791E5C0A" w:rsidR="006C7CFA" w:rsidRDefault="006B161E" w:rsidP="00864818">
      <w:pPr>
        <w:pStyle w:val="Heading1"/>
        <w:numPr>
          <w:ilvl w:val="0"/>
          <w:numId w:val="20"/>
        </w:numPr>
      </w:pPr>
      <w:bookmarkStart w:id="5" w:name="_Toc216259237"/>
      <w:r>
        <w:lastRenderedPageBreak/>
        <w:t>F</w:t>
      </w:r>
      <w:r w:rsidRPr="006B161E">
        <w:t xml:space="preserve">uture </w:t>
      </w:r>
      <w:r w:rsidR="00CE5377">
        <w:t>A</w:t>
      </w:r>
      <w:r w:rsidRPr="006B161E">
        <w:t>ctions</w:t>
      </w:r>
      <w:bookmarkEnd w:id="5"/>
      <w:r w:rsidR="00CD767C">
        <w:t xml:space="preserve"> </w:t>
      </w:r>
    </w:p>
    <w:p w14:paraId="6722DFF9" w14:textId="77777777" w:rsidR="00B840A6" w:rsidRDefault="00B840A6" w:rsidP="00BA6090"/>
    <w:p w14:paraId="72270F69" w14:textId="65769CCD" w:rsidR="00B840A6" w:rsidRDefault="00C000ED" w:rsidP="00D92D55">
      <w:pPr>
        <w:spacing w:after="0"/>
      </w:pPr>
      <w:r w:rsidRPr="00C000ED">
        <w:t xml:space="preserve">SDDC have put forward </w:t>
      </w:r>
      <w:r w:rsidRPr="00D92D55">
        <w:t>£</w:t>
      </w:r>
      <w:r w:rsidR="000D428A" w:rsidRPr="00D92D55">
        <w:t>5</w:t>
      </w:r>
      <w:r w:rsidRPr="00D92D55">
        <w:t xml:space="preserve">00,000 </w:t>
      </w:r>
      <w:r w:rsidR="000D428A" w:rsidRPr="00D92D55">
        <w:t>t</w:t>
      </w:r>
      <w:r w:rsidRPr="00D92D55">
        <w:t>o fund</w:t>
      </w:r>
      <w:r w:rsidRPr="00C000ED">
        <w:t xml:space="preserve"> the Climate Strategy and the Ecological Emergency. It is hoped the grant fund will progress the partnership and enable other partners to make a similar match/joint funded contribution. The main cost of the project is to enable SDDC to host a project Co-Ordinator and in addition to the cost of carrying out feasibility </w:t>
      </w:r>
      <w:r w:rsidR="009F3170" w:rsidRPr="00C000ED">
        <w:t>studies and</w:t>
      </w:r>
      <w:r w:rsidRPr="00C000ED">
        <w:t xml:space="preserve"> building capacity and knowledge with the wider community with our environmental education team.</w:t>
      </w:r>
    </w:p>
    <w:p w14:paraId="5341D06A" w14:textId="564251FD" w:rsidR="008D31FD" w:rsidRDefault="008D31FD" w:rsidP="00D92D55">
      <w:pPr>
        <w:spacing w:after="0"/>
      </w:pPr>
      <w:r>
        <w:t>It is planned that the investmen</w:t>
      </w:r>
      <w:r w:rsidR="009F3170">
        <w:t xml:space="preserve">t </w:t>
      </w:r>
      <w:r>
        <w:t>will engage joint/match funded partners to commit to the Network and effectively run as a funded independent organisation progressing environmental projects in perpetuity effectively helping manage the Ecological Crisis in South Derbyshire.</w:t>
      </w:r>
    </w:p>
    <w:p w14:paraId="1EE54634" w14:textId="77777777" w:rsidR="008D31FD" w:rsidRDefault="008D31FD" w:rsidP="00D92D55">
      <w:pPr>
        <w:spacing w:after="0"/>
      </w:pPr>
    </w:p>
    <w:p w14:paraId="5CC30E9B" w14:textId="77777777" w:rsidR="008D31FD" w:rsidRDefault="008D31FD" w:rsidP="00D92D55">
      <w:pPr>
        <w:spacing w:after="0"/>
      </w:pPr>
      <w:r>
        <w:t xml:space="preserve">To help fund feasibility studies across a wide range of issues, potential feasibility studies </w:t>
      </w:r>
      <w:proofErr w:type="gramStart"/>
      <w:r>
        <w:t>include;</w:t>
      </w:r>
      <w:proofErr w:type="gramEnd"/>
    </w:p>
    <w:p w14:paraId="421448B8" w14:textId="77777777" w:rsidR="008D31FD" w:rsidRDefault="008D31FD" w:rsidP="00D92D55">
      <w:pPr>
        <w:spacing w:after="0"/>
      </w:pPr>
      <w:r>
        <w:t xml:space="preserve"> </w:t>
      </w:r>
    </w:p>
    <w:p w14:paraId="1F3690B7" w14:textId="77777777" w:rsidR="008D31FD" w:rsidRDefault="008D31FD" w:rsidP="00D92D55">
      <w:pPr>
        <w:spacing w:after="0"/>
        <w:ind w:left="709" w:hanging="709"/>
      </w:pPr>
      <w:r>
        <w:t>•</w:t>
      </w:r>
      <w:r>
        <w:tab/>
        <w:t>Commission study into upscaling of nature friendly food growing linking with allotments, small holdings and parks and green spaces.</w:t>
      </w:r>
    </w:p>
    <w:p w14:paraId="0B5A761B" w14:textId="77777777" w:rsidR="008D31FD" w:rsidRDefault="008D31FD" w:rsidP="00D92D55">
      <w:pPr>
        <w:spacing w:after="0"/>
      </w:pPr>
      <w:r>
        <w:t>•</w:t>
      </w:r>
      <w:r>
        <w:tab/>
        <w:t>Creating or developing a District wide nature corridor</w:t>
      </w:r>
    </w:p>
    <w:p w14:paraId="28719113" w14:textId="77777777" w:rsidR="008D31FD" w:rsidRDefault="008D31FD" w:rsidP="00D92D55">
      <w:pPr>
        <w:spacing w:after="0"/>
      </w:pPr>
      <w:r>
        <w:t>•</w:t>
      </w:r>
      <w:r>
        <w:tab/>
        <w:t xml:space="preserve">Commission a Tree Canopy Cover Assessment represented as a percentage of the </w:t>
      </w:r>
      <w:proofErr w:type="gramStart"/>
      <w:r>
        <w:t>District</w:t>
      </w:r>
      <w:proofErr w:type="gramEnd"/>
      <w:r>
        <w:t>.</w:t>
      </w:r>
    </w:p>
    <w:p w14:paraId="27D74046" w14:textId="77777777" w:rsidR="008D31FD" w:rsidRDefault="008D31FD" w:rsidP="00D92D55">
      <w:pPr>
        <w:spacing w:after="0"/>
        <w:ind w:left="709" w:hanging="709"/>
      </w:pPr>
      <w:r>
        <w:t>•</w:t>
      </w:r>
      <w:r>
        <w:tab/>
        <w:t>Commission an independent Street Tree Survey to investigate the feasibility and location to implement Street Trees in South Derbyshire</w:t>
      </w:r>
    </w:p>
    <w:p w14:paraId="07C98404" w14:textId="77777777" w:rsidR="008D31FD" w:rsidRDefault="008D31FD" w:rsidP="00D92D55">
      <w:pPr>
        <w:spacing w:after="0"/>
        <w:ind w:left="709" w:hanging="709"/>
      </w:pPr>
      <w:r>
        <w:t>•</w:t>
      </w:r>
      <w:r>
        <w:tab/>
        <w:t>Identify funding for Street Tree project to plant 50 trees in urban centres across South Derbyshire.</w:t>
      </w:r>
    </w:p>
    <w:p w14:paraId="58DA44F9" w14:textId="77777777" w:rsidR="008D31FD" w:rsidRDefault="008D31FD" w:rsidP="00D92D55">
      <w:pPr>
        <w:spacing w:after="0"/>
        <w:ind w:left="709" w:hanging="709"/>
      </w:pPr>
      <w:r>
        <w:t>•</w:t>
      </w:r>
      <w:r>
        <w:tab/>
        <w:t>Determine the investment required to enable habitat creation i.e. removing arisings from verge cuttings</w:t>
      </w:r>
    </w:p>
    <w:p w14:paraId="4894F526" w14:textId="77777777" w:rsidR="008D31FD" w:rsidRDefault="008D31FD" w:rsidP="00D92D55">
      <w:pPr>
        <w:spacing w:after="0"/>
      </w:pPr>
      <w:r>
        <w:t>•</w:t>
      </w:r>
      <w:r>
        <w:tab/>
        <w:t>Reduce over fertilization with nitrogen and phosphorus by dog and cat fouling</w:t>
      </w:r>
    </w:p>
    <w:p w14:paraId="158D93D7" w14:textId="77777777" w:rsidR="008D31FD" w:rsidRDefault="008D31FD" w:rsidP="00D92D55">
      <w:pPr>
        <w:spacing w:after="0"/>
        <w:ind w:left="709" w:hanging="709"/>
      </w:pPr>
      <w:r>
        <w:t>•</w:t>
      </w:r>
      <w:r>
        <w:tab/>
        <w:t xml:space="preserve">Set water health targets at catchment scale, ensuring policy levers and incentives are in place to reduce pollutants and deliver targets locally </w:t>
      </w:r>
    </w:p>
    <w:p w14:paraId="742084B8" w14:textId="736D5B32" w:rsidR="00B840A6" w:rsidRDefault="008D31FD" w:rsidP="008B4E0D">
      <w:pPr>
        <w:spacing w:after="0"/>
        <w:ind w:left="709" w:hanging="709"/>
      </w:pPr>
      <w:r>
        <w:t>•</w:t>
      </w:r>
      <w:r>
        <w:tab/>
        <w:t>Develop a South Derbyshire Ranger Service of staff to deliver our engagement programme and do active conservation and engagement work with individuals and groups, using a mix of the innovative methods described above</w:t>
      </w:r>
    </w:p>
    <w:p w14:paraId="2518F798" w14:textId="14733C6C" w:rsidR="00BA6090" w:rsidRDefault="00BA6090" w:rsidP="00BA6090">
      <w:pPr>
        <w:pStyle w:val="Heading1"/>
        <w:numPr>
          <w:ilvl w:val="0"/>
          <w:numId w:val="20"/>
        </w:numPr>
      </w:pPr>
      <w:bookmarkStart w:id="6" w:name="_Toc216259238"/>
      <w:r w:rsidRPr="00BA6090">
        <w:t xml:space="preserve">Biodiversity </w:t>
      </w:r>
      <w:r>
        <w:t>N</w:t>
      </w:r>
      <w:r w:rsidRPr="00BA6090">
        <w:t xml:space="preserve">et </w:t>
      </w:r>
      <w:r>
        <w:t>G</w:t>
      </w:r>
      <w:r w:rsidRPr="00BA6090">
        <w:t xml:space="preserve">ain </w:t>
      </w:r>
      <w:r w:rsidR="00E13880">
        <w:t>I</w:t>
      </w:r>
      <w:r w:rsidRPr="00BA6090">
        <w:t>nformation</w:t>
      </w:r>
      <w:bookmarkEnd w:id="6"/>
    </w:p>
    <w:p w14:paraId="2348F5AE" w14:textId="77777777" w:rsidR="00E13880" w:rsidRDefault="00E13880" w:rsidP="00E13880"/>
    <w:p w14:paraId="07EE4A97" w14:textId="79F983B0" w:rsidR="00B840A6" w:rsidRDefault="004B25BF" w:rsidP="00D92D55">
      <w:pPr>
        <w:spacing w:after="0"/>
      </w:pPr>
      <w:r>
        <w:t xml:space="preserve">Out of a total of six BNG Gain Plans delivered, 5 were delivered on-site with an average net change of 21.76% with a average net change in </w:t>
      </w:r>
      <w:proofErr w:type="spellStart"/>
      <w:r>
        <w:t>hedegrows</w:t>
      </w:r>
      <w:proofErr w:type="spellEnd"/>
      <w:r>
        <w:t xml:space="preserve"> of 27.63%, with a -0.74 unit loss in grassland, 0.43 unit gain in individual trees</w:t>
      </w:r>
      <w:r w:rsidR="008113AC">
        <w:t xml:space="preserve">, </w:t>
      </w:r>
      <w:r>
        <w:t xml:space="preserve">0.23 unit gain in species-rich native </w:t>
      </w:r>
      <w:proofErr w:type="spellStart"/>
      <w:r>
        <w:t>hedegrow</w:t>
      </w:r>
      <w:proofErr w:type="spellEnd"/>
      <w:r>
        <w:t>, 0.23 of native hedgerow, 0.06 of woodland and forest and 0.89 unit uplift in heathland and scrub. With 0.33 units of mixed scrub provided off-site</w:t>
      </w:r>
      <w:r w:rsidR="008113AC">
        <w:t>.</w:t>
      </w:r>
    </w:p>
    <w:p w14:paraId="2EDDF9CD" w14:textId="57097DB7" w:rsidR="00B840A6" w:rsidRDefault="00B840A6" w:rsidP="00E13880"/>
    <w:p w14:paraId="4ED5DABF" w14:textId="02232768" w:rsidR="00117CE8" w:rsidRDefault="000A7D4D" w:rsidP="000A7D4D">
      <w:pPr>
        <w:pStyle w:val="Heading2"/>
      </w:pPr>
      <w:r>
        <w:t>U</w:t>
      </w:r>
      <w:r w:rsidR="00117CE8">
        <w:t xml:space="preserve">sed </w:t>
      </w:r>
      <w:r>
        <w:t xml:space="preserve">SDDC </w:t>
      </w:r>
      <w:r w:rsidR="00117CE8">
        <w:t>land as a biodiversity gain site</w:t>
      </w:r>
    </w:p>
    <w:p w14:paraId="12CBED87" w14:textId="7392269D" w:rsidR="00117CE8" w:rsidRDefault="00587A7E" w:rsidP="00D92D55">
      <w:pPr>
        <w:spacing w:after="0"/>
      </w:pPr>
      <w:r>
        <w:t xml:space="preserve">Internally SDDC has assessed sites </w:t>
      </w:r>
      <w:r w:rsidR="00F9183B">
        <w:t xml:space="preserve">up to </w:t>
      </w:r>
      <w:r w:rsidR="00350A4B">
        <w:t xml:space="preserve">47 sites for the potential to deliver </w:t>
      </w:r>
      <w:r w:rsidR="00B854B8">
        <w:t>BNG or for separate biodiversity enhancement</w:t>
      </w:r>
      <w:r w:rsidR="00797199">
        <w:t xml:space="preserve"> </w:t>
      </w:r>
      <w:r w:rsidR="00184CBA">
        <w:t>and identif</w:t>
      </w:r>
      <w:r w:rsidR="004F52FB">
        <w:t>ied two promising sites.</w:t>
      </w:r>
      <w:r w:rsidR="00F80513">
        <w:t xml:space="preserve"> 24 sites were assessed within the Action Plan for Nature commission in 2021</w:t>
      </w:r>
      <w:r w:rsidR="00856DCE">
        <w:t xml:space="preserve"> with six sites brough</w:t>
      </w:r>
      <w:r w:rsidR="00797199">
        <w:t>t</w:t>
      </w:r>
      <w:r w:rsidR="00856DCE">
        <w:t xml:space="preserve"> forward</w:t>
      </w:r>
      <w:r w:rsidR="00573A4B">
        <w:t xml:space="preserve"> representing some enhancement potential.</w:t>
      </w:r>
    </w:p>
    <w:p w14:paraId="4273E66F" w14:textId="77777777" w:rsidR="00117CE8" w:rsidRDefault="00117CE8" w:rsidP="00E13880"/>
    <w:p w14:paraId="24DD916D" w14:textId="7F4CDAD4" w:rsidR="00B840A6" w:rsidRDefault="00947C11" w:rsidP="00A472F9">
      <w:pPr>
        <w:pStyle w:val="Heading2"/>
      </w:pPr>
      <w:r>
        <w:t>S</w:t>
      </w:r>
      <w:r w:rsidRPr="00947C11">
        <w:t>upport</w:t>
      </w:r>
      <w:r>
        <w:t>ing th</w:t>
      </w:r>
      <w:r w:rsidRPr="00947C11">
        <w:t>e</w:t>
      </w:r>
      <w:r w:rsidR="00A51393">
        <w:t xml:space="preserve"> </w:t>
      </w:r>
      <w:r w:rsidRPr="00947C11">
        <w:t>development of a local BNG market</w:t>
      </w:r>
    </w:p>
    <w:p w14:paraId="728F0A75" w14:textId="2A8D3650" w:rsidR="00081832" w:rsidRPr="00A472F9" w:rsidRDefault="00A51393" w:rsidP="00081832">
      <w:r>
        <w:t>South Derbyshire District Council</w:t>
      </w:r>
      <w:r w:rsidR="00CC5A63">
        <w:t xml:space="preserve"> </w:t>
      </w:r>
      <w:r w:rsidR="00A472F9">
        <w:t xml:space="preserve">are </w:t>
      </w:r>
      <w:r w:rsidR="00193739">
        <w:t>to agree S106</w:t>
      </w:r>
      <w:r w:rsidR="00B722D6">
        <w:t xml:space="preserve"> with two habitat banks </w:t>
      </w:r>
      <w:r w:rsidR="00081832" w:rsidRPr="00A472F9">
        <w:t xml:space="preserve">Land East of Broad Lane, </w:t>
      </w:r>
      <w:proofErr w:type="spellStart"/>
      <w:r w:rsidR="00081832" w:rsidRPr="00A472F9">
        <w:t>Thulson</w:t>
      </w:r>
      <w:proofErr w:type="spellEnd"/>
      <w:r w:rsidR="00081832" w:rsidRPr="00A472F9">
        <w:t xml:space="preserve"> &amp; Marston Meadows, Marston on Dove provided by </w:t>
      </w:r>
    </w:p>
    <w:p w14:paraId="74910FA7" w14:textId="18C5D6EE" w:rsidR="00081832" w:rsidRPr="007762EA" w:rsidRDefault="00A472F9" w:rsidP="00081832">
      <w:pPr>
        <w:rPr>
          <w:b/>
          <w:bCs/>
        </w:rPr>
      </w:pPr>
      <w:r w:rsidRPr="007762EA">
        <w:rPr>
          <w:b/>
          <w:bCs/>
        </w:rPr>
        <w:t xml:space="preserve">Land East of Broad Lane, </w:t>
      </w:r>
      <w:proofErr w:type="spellStart"/>
      <w:r w:rsidRPr="007762EA">
        <w:rPr>
          <w:b/>
          <w:bCs/>
        </w:rPr>
        <w:t>Thulson</w:t>
      </w:r>
      <w:proofErr w:type="spellEnd"/>
    </w:p>
    <w:p w14:paraId="7C128242" w14:textId="17DF46EF" w:rsidR="00081832" w:rsidRDefault="00081832" w:rsidP="00081832">
      <w:pPr>
        <w:textAlignment w:val="baseline"/>
        <w:rPr>
          <w:color w:val="000000"/>
          <w:lang w:eastAsia="en-GB"/>
        </w:rPr>
      </w:pPr>
      <w:r>
        <w:rPr>
          <w:noProof/>
          <w:color w:val="000000"/>
          <w:bdr w:val="none" w:sz="0" w:space="0" w:color="auto" w:frame="1"/>
          <w:shd w:val="clear" w:color="auto" w:fill="FFFFFF"/>
          <w:lang w:eastAsia="en-GB"/>
        </w:rPr>
        <w:drawing>
          <wp:inline distT="0" distB="0" distL="0" distR="0" wp14:anchorId="74B7ECE2" wp14:editId="4EB52F2A">
            <wp:extent cx="4318000" cy="717550"/>
            <wp:effectExtent l="0" t="0" r="6350" b="6350"/>
            <wp:docPr id="3231593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52035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318000" cy="717550"/>
                    </a:xfrm>
                    <a:prstGeom prst="rect">
                      <a:avLst/>
                    </a:prstGeom>
                    <a:noFill/>
                    <a:ln>
                      <a:noFill/>
                    </a:ln>
                  </pic:spPr>
                </pic:pic>
              </a:graphicData>
            </a:graphic>
          </wp:inline>
        </w:drawing>
      </w:r>
    </w:p>
    <w:p w14:paraId="6D1C2346" w14:textId="77777777" w:rsidR="00081832" w:rsidRPr="007762EA" w:rsidRDefault="00081832" w:rsidP="00081832">
      <w:pPr>
        <w:textAlignment w:val="baseline"/>
      </w:pPr>
    </w:p>
    <w:p w14:paraId="6B8213A9" w14:textId="77777777" w:rsidR="00081832" w:rsidRDefault="00081832" w:rsidP="00081832">
      <w:pPr>
        <w:shd w:val="clear" w:color="auto" w:fill="FFFFFF"/>
      </w:pPr>
      <w:r w:rsidRPr="007762EA">
        <w:t xml:space="preserve">207 Leicester Road, Ibstock, Leicestershire, LE67 6HP </w:t>
      </w:r>
    </w:p>
    <w:p w14:paraId="78393580" w14:textId="77777777" w:rsidR="00081832" w:rsidRPr="007762EA" w:rsidRDefault="00081832" w:rsidP="00081832">
      <w:pPr>
        <w:shd w:val="clear" w:color="auto" w:fill="FFFFFF"/>
      </w:pPr>
      <w:hyperlink r:id="rId13" w:history="1">
        <w:r w:rsidRPr="007762EA">
          <w:t>www.thehabitat-bank.co.uk</w:t>
        </w:r>
      </w:hyperlink>
      <w:r w:rsidRPr="007762EA">
        <w:t xml:space="preserve"> </w:t>
      </w:r>
    </w:p>
    <w:p w14:paraId="45C65A1F" w14:textId="77777777" w:rsidR="00081832" w:rsidRDefault="00081832" w:rsidP="00081832">
      <w:pPr>
        <w:shd w:val="clear" w:color="auto" w:fill="FFFFFF"/>
      </w:pPr>
      <w:hyperlink r:id="rId14" w:history="1">
        <w:r w:rsidRPr="007762EA">
          <w:t>info@thehabitat-bank.co.uk</w:t>
        </w:r>
      </w:hyperlink>
      <w:r w:rsidRPr="007762EA">
        <w:t xml:space="preserve"> </w:t>
      </w:r>
    </w:p>
    <w:p w14:paraId="657C4362" w14:textId="77777777" w:rsidR="00081832" w:rsidRDefault="00081832" w:rsidP="00081832">
      <w:pPr>
        <w:shd w:val="clear" w:color="auto" w:fill="FFFFFF"/>
      </w:pPr>
      <w:r w:rsidRPr="007762EA">
        <w:t xml:space="preserve">Mob: 07557 342452 </w:t>
      </w:r>
    </w:p>
    <w:p w14:paraId="0C6908A9" w14:textId="77777777" w:rsidR="00A74D19" w:rsidRDefault="00A74D19" w:rsidP="00081832">
      <w:pPr>
        <w:rPr>
          <w:b/>
          <w:bCs/>
        </w:rPr>
      </w:pPr>
    </w:p>
    <w:p w14:paraId="2D20F2A9" w14:textId="7B808486" w:rsidR="00081832" w:rsidRPr="007762EA" w:rsidRDefault="00A472F9" w:rsidP="00081832">
      <w:pPr>
        <w:rPr>
          <w:b/>
          <w:bCs/>
        </w:rPr>
      </w:pPr>
      <w:r w:rsidRPr="007762EA">
        <w:rPr>
          <w:b/>
          <w:bCs/>
        </w:rPr>
        <w:t>Marston Meadows, Marston on Dove</w:t>
      </w:r>
    </w:p>
    <w:p w14:paraId="6ED19101" w14:textId="5BD40B8C" w:rsidR="00081832" w:rsidRDefault="00081832" w:rsidP="00081832">
      <w:pPr>
        <w:rPr>
          <w:sz w:val="24"/>
          <w:szCs w:val="24"/>
          <w:lang w:eastAsia="en-GB"/>
        </w:rPr>
      </w:pPr>
      <w:r>
        <w:rPr>
          <w:noProof/>
          <w:lang w:eastAsia="en-GB"/>
        </w:rPr>
        <w:drawing>
          <wp:inline distT="0" distB="0" distL="0" distR="0" wp14:anchorId="4F079FEC" wp14:editId="6BB10F25">
            <wp:extent cx="1009650" cy="431800"/>
            <wp:effectExtent l="0" t="0" r="0" b="6350"/>
            <wp:docPr id="1212767722" name="Picture 1" descr="A purple and green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767722" name="Picture 1" descr="A purple and green letter&#10;&#10;AI-generated content may be incorrect."/>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009650" cy="431800"/>
                    </a:xfrm>
                    <a:prstGeom prst="rect">
                      <a:avLst/>
                    </a:prstGeom>
                    <a:noFill/>
                    <a:ln>
                      <a:noFill/>
                    </a:ln>
                  </pic:spPr>
                </pic:pic>
              </a:graphicData>
            </a:graphic>
          </wp:inline>
        </w:drawing>
      </w:r>
    </w:p>
    <w:p w14:paraId="78B4D390" w14:textId="77777777" w:rsidR="00081832" w:rsidRDefault="00081832" w:rsidP="00081832">
      <w:pPr>
        <w:rPr>
          <w:sz w:val="16"/>
          <w:szCs w:val="16"/>
          <w:lang w:eastAsia="en-GB"/>
          <w14:ligatures w14:val="standardContextual"/>
        </w:rPr>
      </w:pPr>
    </w:p>
    <w:p w14:paraId="4C25336C" w14:textId="77777777" w:rsidR="00081832" w:rsidRDefault="00081832" w:rsidP="007762EA">
      <w:pPr>
        <w:shd w:val="clear" w:color="auto" w:fill="FFFFFF"/>
        <w:rPr>
          <w:lang w:val="en-US" w:eastAsia="en-GB"/>
        </w:rPr>
      </w:pPr>
      <w:hyperlink r:id="rId17" w:history="1">
        <w:r w:rsidRPr="007762EA">
          <w:t>www.csxcarbon.com</w:t>
        </w:r>
      </w:hyperlink>
      <w:r w:rsidRPr="007762EA">
        <w:t xml:space="preserve"> </w:t>
      </w:r>
    </w:p>
    <w:p w14:paraId="4A3296AB" w14:textId="77777777" w:rsidR="00081832" w:rsidRDefault="00081832" w:rsidP="00081832">
      <w:pPr>
        <w:rPr>
          <w:lang w:val="en-US" w:eastAsia="en-GB"/>
        </w:rPr>
      </w:pPr>
      <w:r>
        <w:rPr>
          <w:lang w:val="en-US" w:eastAsia="en-GB"/>
        </w:rPr>
        <w:t xml:space="preserve">Barningham Coach House, Barningham </w:t>
      </w:r>
    </w:p>
    <w:p w14:paraId="11CAEF32" w14:textId="77777777" w:rsidR="00081832" w:rsidRDefault="00081832" w:rsidP="00081832">
      <w:pPr>
        <w:rPr>
          <w:lang w:val="en-US" w:eastAsia="en-GB"/>
        </w:rPr>
      </w:pPr>
      <w:r>
        <w:rPr>
          <w:lang w:val="en-US" w:eastAsia="en-GB"/>
        </w:rPr>
        <w:t xml:space="preserve">Richmond, North Yorkshire, DL11 7DW </w:t>
      </w:r>
    </w:p>
    <w:p w14:paraId="6855E531" w14:textId="6FA24C4B" w:rsidR="00F95153" w:rsidRDefault="007762EA" w:rsidP="00063CA5">
      <w:r w:rsidRPr="007762EA">
        <w:t>01609 786655</w:t>
      </w:r>
    </w:p>
    <w:p w14:paraId="74193F59" w14:textId="1BC52CBD" w:rsidR="00063CA5" w:rsidRDefault="00970C8F" w:rsidP="004C4C8A">
      <w:pPr>
        <w:pStyle w:val="Heading2"/>
      </w:pPr>
      <w:r>
        <w:t>T</w:t>
      </w:r>
      <w:r w:rsidR="00063CA5">
        <w:t>he number of biodiversity gain plans approved</w:t>
      </w:r>
    </w:p>
    <w:p w14:paraId="36EC5B57" w14:textId="77777777" w:rsidR="00970C8F" w:rsidRDefault="00970C8F" w:rsidP="00970C8F"/>
    <w:p w14:paraId="4D25462A" w14:textId="2A01A635" w:rsidR="00970C8F" w:rsidRPr="009C4D1A" w:rsidRDefault="00970C8F" w:rsidP="00970C8F">
      <w:r w:rsidRPr="009C4D1A">
        <w:t>6</w:t>
      </w:r>
    </w:p>
    <w:p w14:paraId="28544F99" w14:textId="0E8F1639" w:rsidR="00B840A6" w:rsidRDefault="007E0465" w:rsidP="00E13880">
      <w:r>
        <w:rPr>
          <w:noProof/>
        </w:rPr>
        <w:lastRenderedPageBreak/>
        <w:drawing>
          <wp:inline distT="0" distB="0" distL="0" distR="0" wp14:anchorId="241BB6BE" wp14:editId="335993FD">
            <wp:extent cx="6188075" cy="1591310"/>
            <wp:effectExtent l="0" t="0" r="3175" b="8890"/>
            <wp:docPr id="6787601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88075" cy="1591310"/>
                    </a:xfrm>
                    <a:prstGeom prst="rect">
                      <a:avLst/>
                    </a:prstGeom>
                    <a:noFill/>
                  </pic:spPr>
                </pic:pic>
              </a:graphicData>
            </a:graphic>
          </wp:inline>
        </w:drawing>
      </w:r>
    </w:p>
    <w:p w14:paraId="5325A9C6" w14:textId="20E6E689" w:rsidR="00AE0FC4" w:rsidRDefault="00830FA7" w:rsidP="00830FA7">
      <w:pPr>
        <w:pStyle w:val="Heading2"/>
      </w:pPr>
      <w:r>
        <w:t>T</w:t>
      </w:r>
      <w:r w:rsidR="00AE0FC4">
        <w:t>he split between on-site and off-site gains and statutory credits</w:t>
      </w:r>
    </w:p>
    <w:p w14:paraId="62845127" w14:textId="13354A6B" w:rsidR="009A72AB" w:rsidRPr="009C4D1A" w:rsidRDefault="009A72AB" w:rsidP="009A72AB">
      <w:r w:rsidRPr="009C4D1A">
        <w:t>5/1</w:t>
      </w:r>
    </w:p>
    <w:p w14:paraId="7F292222" w14:textId="092A3EB5" w:rsidR="00AE0FC4" w:rsidRDefault="00C55EFE" w:rsidP="00830FA7">
      <w:pPr>
        <w:pStyle w:val="Heading2"/>
      </w:pPr>
      <w:r>
        <w:t>T</w:t>
      </w:r>
      <w:r w:rsidR="00AE0FC4">
        <w:t>he net gain in number of units and average percentage gain across approved biodiversity gain plans</w:t>
      </w:r>
    </w:p>
    <w:p w14:paraId="5D15F925" w14:textId="77777777" w:rsidR="00752FEC" w:rsidRDefault="00752FEC" w:rsidP="00752FEC"/>
    <w:p w14:paraId="46299C2B" w14:textId="0764F2AB" w:rsidR="00752FEC" w:rsidRPr="009C4D1A" w:rsidRDefault="00752FEC" w:rsidP="00752FEC">
      <w:r w:rsidRPr="009C4D1A">
        <w:t>On-site average percentage gains of 21.76%</w:t>
      </w:r>
    </w:p>
    <w:p w14:paraId="24BA39D0" w14:textId="2D2BF213" w:rsidR="00FD6F82" w:rsidRPr="009C4D1A" w:rsidRDefault="00FD6F82" w:rsidP="00752FEC">
      <w:r w:rsidRPr="009C4D1A">
        <w:t>Average net change in hedg</w:t>
      </w:r>
      <w:r w:rsidR="00B05EFF" w:rsidRPr="009C4D1A">
        <w:t>e</w:t>
      </w:r>
      <w:r w:rsidRPr="009C4D1A">
        <w:t>rows of 27.63%</w:t>
      </w:r>
    </w:p>
    <w:p w14:paraId="70E8FE5D" w14:textId="235784E0" w:rsidR="000C56FA" w:rsidRDefault="00C55EFE" w:rsidP="00830FA7">
      <w:pPr>
        <w:pStyle w:val="Heading2"/>
      </w:pPr>
      <w:r>
        <w:t>T</w:t>
      </w:r>
      <w:r w:rsidR="000C56FA">
        <w:t>he number of and net change in biodiversity units and area split by habitat type, for example, grassland</w:t>
      </w:r>
    </w:p>
    <w:p w14:paraId="50343106" w14:textId="77777777" w:rsidR="00FE42A2" w:rsidRDefault="00FE42A2" w:rsidP="00FD6F82"/>
    <w:p w14:paraId="2450F8AB" w14:textId="77777777" w:rsidR="008170A5" w:rsidRPr="009C4D1A" w:rsidRDefault="00FE42A2" w:rsidP="00FD6F82">
      <w:r w:rsidRPr="009C4D1A">
        <w:t>-0.74 unit loss in grassland</w:t>
      </w:r>
    </w:p>
    <w:p w14:paraId="19006686" w14:textId="66D2D12B" w:rsidR="00FD6F82" w:rsidRPr="009C4D1A" w:rsidRDefault="008170A5" w:rsidP="00FD6F82">
      <w:r w:rsidRPr="009C4D1A">
        <w:t>0.43 unit</w:t>
      </w:r>
      <w:r w:rsidR="00C46ECF" w:rsidRPr="009C4D1A">
        <w:t>s</w:t>
      </w:r>
      <w:r w:rsidRPr="009C4D1A">
        <w:t xml:space="preserve"> gain in individual trees</w:t>
      </w:r>
    </w:p>
    <w:p w14:paraId="193A0F75" w14:textId="331925FB" w:rsidR="00502DDE" w:rsidRPr="009C4D1A" w:rsidRDefault="00502DDE" w:rsidP="00FD6F82">
      <w:r w:rsidRPr="009C4D1A">
        <w:t>0.23 unit</w:t>
      </w:r>
      <w:r w:rsidR="00C46ECF" w:rsidRPr="009C4D1A">
        <w:t>s</w:t>
      </w:r>
      <w:r w:rsidRPr="009C4D1A">
        <w:t xml:space="preserve"> gain in species-rich native hedgerow</w:t>
      </w:r>
    </w:p>
    <w:p w14:paraId="7CBAD8FA" w14:textId="77777777" w:rsidR="00502DDE" w:rsidRPr="009C4D1A" w:rsidRDefault="00502DDE" w:rsidP="00FD6F82">
      <w:r w:rsidRPr="009C4D1A">
        <w:t xml:space="preserve">0.23 of native hedgerow, </w:t>
      </w:r>
    </w:p>
    <w:p w14:paraId="018652F3" w14:textId="77777777" w:rsidR="00502DDE" w:rsidRPr="009C4D1A" w:rsidRDefault="00502DDE" w:rsidP="00FD6F82">
      <w:r w:rsidRPr="009C4D1A">
        <w:t xml:space="preserve">0.06 of woodland and forest and </w:t>
      </w:r>
    </w:p>
    <w:p w14:paraId="742127D8" w14:textId="4D077B7C" w:rsidR="00502DDE" w:rsidRPr="009C4D1A" w:rsidRDefault="00502DDE" w:rsidP="00FD6F82">
      <w:r w:rsidRPr="009C4D1A">
        <w:t>0.89 unit</w:t>
      </w:r>
      <w:r w:rsidR="00C46ECF" w:rsidRPr="009C4D1A">
        <w:t>s</w:t>
      </w:r>
      <w:r w:rsidRPr="009C4D1A">
        <w:t xml:space="preserve"> uplift in heathland and scrub. </w:t>
      </w:r>
    </w:p>
    <w:p w14:paraId="1C3F8AE8" w14:textId="20F86400" w:rsidR="00502DDE" w:rsidRPr="009C4D1A" w:rsidRDefault="00502DDE" w:rsidP="00FD6F82">
      <w:r w:rsidRPr="009C4D1A">
        <w:t>0.33 units of mixed scrub provided off-site.</w:t>
      </w:r>
    </w:p>
    <w:p w14:paraId="357321AF" w14:textId="334FBD13" w:rsidR="000C56FA" w:rsidRDefault="00C55EFE" w:rsidP="00830FA7">
      <w:pPr>
        <w:pStyle w:val="Heading2"/>
      </w:pPr>
      <w:r>
        <w:t>T</w:t>
      </w:r>
      <w:r w:rsidR="000C56FA">
        <w:t>he number of approved biodiversity gain plans that impact on irreplaceable habitat</w:t>
      </w:r>
    </w:p>
    <w:p w14:paraId="1AD574DF" w14:textId="043EDC3E" w:rsidR="007403A1" w:rsidRPr="008835B7" w:rsidRDefault="007D6CA4" w:rsidP="007403A1">
      <w:r w:rsidRPr="008835B7">
        <w:t>0</w:t>
      </w:r>
    </w:p>
    <w:p w14:paraId="1CDFFFA2" w14:textId="6AFB0CE8" w:rsidR="000C56FA" w:rsidRDefault="00C55EFE" w:rsidP="00830FA7">
      <w:pPr>
        <w:pStyle w:val="Heading2"/>
      </w:pPr>
      <w:r>
        <w:t>T</w:t>
      </w:r>
      <w:r w:rsidR="000C56FA">
        <w:t>he location and number of approved offsite biodiversity units</w:t>
      </w:r>
    </w:p>
    <w:p w14:paraId="261CBFD5" w14:textId="77777777" w:rsidR="00530315" w:rsidRDefault="00530315" w:rsidP="00530315"/>
    <w:p w14:paraId="40BC7C9C" w14:textId="4EFA4BD6" w:rsidR="00530315" w:rsidRPr="00A54178" w:rsidRDefault="00530315" w:rsidP="00530315">
      <w:r w:rsidRPr="00A54178">
        <w:t xml:space="preserve">1, </w:t>
      </w:r>
      <w:r w:rsidR="002138CC" w:rsidRPr="00A54178">
        <w:t xml:space="preserve">Wild Whittington, located 5km north of Chesterfield City Centre, </w:t>
      </w:r>
      <w:r w:rsidR="004E40FA" w:rsidRPr="00A54178">
        <w:t xml:space="preserve">is </w:t>
      </w:r>
      <w:r w:rsidR="002138CC" w:rsidRPr="00A54178">
        <w:t>the first habitat bank in Derbyshire to be secured with a Section 106 agreement with the local planning authority (LPA), Chesterfield Borough Council.</w:t>
      </w:r>
    </w:p>
    <w:p w14:paraId="70789614" w14:textId="77777777" w:rsidR="00415E88" w:rsidRDefault="00415E88" w:rsidP="00415E88"/>
    <w:p w14:paraId="18E6B8CA" w14:textId="6709A69C" w:rsidR="00E13880" w:rsidRDefault="00E13880" w:rsidP="00540B58">
      <w:pPr>
        <w:pStyle w:val="Heading1"/>
        <w:numPr>
          <w:ilvl w:val="0"/>
          <w:numId w:val="20"/>
        </w:numPr>
      </w:pPr>
      <w:bookmarkStart w:id="7" w:name="_Toc216259239"/>
      <w:bookmarkStart w:id="8" w:name="_Hlk216863589"/>
      <w:r>
        <w:lastRenderedPageBreak/>
        <w:t xml:space="preserve">South Derbyshire District </w:t>
      </w:r>
      <w:bookmarkEnd w:id="7"/>
    </w:p>
    <w:bookmarkEnd w:id="8"/>
    <w:p w14:paraId="5F0FECCD" w14:textId="77777777" w:rsidR="005263F5" w:rsidRDefault="005263F5" w:rsidP="00C56B8B"/>
    <w:p w14:paraId="6A6F0391" w14:textId="6D03A2ED" w:rsidR="005263F5" w:rsidRPr="00C944D8" w:rsidRDefault="00C56B8B" w:rsidP="00C944D8">
      <w:pPr>
        <w:pStyle w:val="NormalWeb"/>
        <w:spacing w:before="0" w:beforeAutospacing="0" w:after="180" w:afterAutospacing="0"/>
        <w:rPr>
          <w:rFonts w:asciiTheme="minorHAnsi" w:eastAsiaTheme="minorHAnsi" w:hAnsiTheme="minorHAnsi" w:cstheme="minorBidi"/>
          <w:sz w:val="22"/>
          <w:szCs w:val="22"/>
          <w:lang w:eastAsia="en-US"/>
        </w:rPr>
      </w:pPr>
      <w:r w:rsidRPr="00C944D8">
        <w:rPr>
          <w:rFonts w:asciiTheme="minorHAnsi" w:eastAsiaTheme="minorHAnsi" w:hAnsiTheme="minorHAnsi" w:cstheme="minorBidi"/>
          <w:sz w:val="22"/>
          <w:szCs w:val="22"/>
          <w:lang w:eastAsia="en-US"/>
        </w:rPr>
        <w:t xml:space="preserve">South Derbyshire is a rural district in central England covering over 112 square miles, strategically located between the major urban centres of Derby (north), Burton upon Trent (west), and Ashby-de-la-Zouch (east). It is bordered by Derby City, East Staffordshire Borough, Lichfield District, Derbyshire Dales, Amber Valley, Erewash and </w:t>
      </w:r>
      <w:r w:rsidR="003E6AAC" w:rsidRPr="00C944D8">
        <w:rPr>
          <w:rFonts w:asciiTheme="minorHAnsi" w:eastAsiaTheme="minorHAnsi" w:hAnsiTheme="minorHAnsi" w:cstheme="minorBidi"/>
          <w:sz w:val="22"/>
          <w:szCs w:val="22"/>
          <w:lang w:eastAsia="en-US"/>
        </w:rPr>
        <w:t>Northwest</w:t>
      </w:r>
      <w:r w:rsidRPr="00C944D8">
        <w:rPr>
          <w:rFonts w:asciiTheme="minorHAnsi" w:eastAsiaTheme="minorHAnsi" w:hAnsiTheme="minorHAnsi" w:cstheme="minorBidi"/>
          <w:sz w:val="22"/>
          <w:szCs w:val="22"/>
          <w:lang w:eastAsia="en-US"/>
        </w:rPr>
        <w:t xml:space="preserve"> Leicestershire. </w:t>
      </w:r>
    </w:p>
    <w:p w14:paraId="61E82073" w14:textId="77777777" w:rsidR="005263F5" w:rsidRPr="00C944D8" w:rsidRDefault="00C56B8B" w:rsidP="00C944D8">
      <w:pPr>
        <w:pStyle w:val="NormalWeb"/>
        <w:spacing w:before="0" w:beforeAutospacing="0" w:after="180" w:afterAutospacing="0"/>
        <w:rPr>
          <w:rFonts w:asciiTheme="minorHAnsi" w:eastAsiaTheme="minorHAnsi" w:hAnsiTheme="minorHAnsi" w:cstheme="minorBidi"/>
          <w:sz w:val="22"/>
          <w:szCs w:val="22"/>
          <w:lang w:eastAsia="en-US"/>
        </w:rPr>
      </w:pPr>
      <w:r w:rsidRPr="00C944D8">
        <w:rPr>
          <w:rFonts w:asciiTheme="minorHAnsi" w:eastAsiaTheme="minorHAnsi" w:hAnsiTheme="minorHAnsi" w:cstheme="minorBidi"/>
          <w:sz w:val="22"/>
          <w:szCs w:val="22"/>
          <w:lang w:eastAsia="en-US"/>
        </w:rPr>
        <w:t xml:space="preserve">Based on mid-year estimates for 2023, the population of South Derbyshire is 114,050 people. The main urban centre is Swadlincote, in the south of the district, with a population of around 41,800 people. </w:t>
      </w:r>
    </w:p>
    <w:p w14:paraId="71066EC5" w14:textId="77777777" w:rsidR="00295AD9" w:rsidRPr="00C944D8" w:rsidRDefault="00C56B8B" w:rsidP="00C944D8">
      <w:pPr>
        <w:pStyle w:val="NormalWeb"/>
        <w:spacing w:before="0" w:beforeAutospacing="0" w:after="180" w:afterAutospacing="0"/>
        <w:rPr>
          <w:rFonts w:asciiTheme="minorHAnsi" w:eastAsiaTheme="minorHAnsi" w:hAnsiTheme="minorHAnsi" w:cstheme="minorBidi"/>
          <w:sz w:val="22"/>
          <w:szCs w:val="22"/>
          <w:lang w:eastAsia="en-US"/>
        </w:rPr>
      </w:pPr>
      <w:r w:rsidRPr="00C944D8">
        <w:rPr>
          <w:rFonts w:asciiTheme="minorHAnsi" w:eastAsiaTheme="minorHAnsi" w:hAnsiTheme="minorHAnsi" w:cstheme="minorBidi"/>
          <w:sz w:val="22"/>
          <w:szCs w:val="22"/>
          <w:lang w:eastAsia="en-US"/>
        </w:rPr>
        <w:t xml:space="preserve">Three-quarters of the district remains in agricultural use, characterised by compact villages set within farmland and historic estate parklands which play a major role in local distinctiveness and are often integral to village character. The presence of coal and clay in the area led to urbanisation, as collieries, brickworks and potteries came to dominate in the period until the Second World War. Mineral extraction, including that along the Trent Valley, has had a significant impact on the landscape. The southern third of the district lies within The National Forest, contributing to landscape restoration where tree cover has increased dramatically from 6% (1990s) to 23% (2023) through planting 9.5 million trees. Further reclamation has taken place at the Former Drakelow and Willington Power Station sites and the transformation of former mineral works and vacant industrial premises in the Woodville Regeneration Area. </w:t>
      </w:r>
    </w:p>
    <w:p w14:paraId="37704439" w14:textId="6B4D32DA" w:rsidR="00C56B8B" w:rsidRPr="00C944D8" w:rsidRDefault="00295AD9" w:rsidP="00C944D8">
      <w:pPr>
        <w:pStyle w:val="NormalWeb"/>
        <w:spacing w:before="0" w:beforeAutospacing="0" w:after="180" w:afterAutospacing="0"/>
        <w:rPr>
          <w:rFonts w:asciiTheme="minorHAnsi" w:eastAsiaTheme="minorHAnsi" w:hAnsiTheme="minorHAnsi" w:cstheme="minorBidi"/>
          <w:sz w:val="22"/>
          <w:szCs w:val="22"/>
          <w:lang w:eastAsia="en-US"/>
        </w:rPr>
      </w:pPr>
      <w:r w:rsidRPr="00C944D8">
        <w:rPr>
          <w:rFonts w:asciiTheme="minorHAnsi" w:eastAsiaTheme="minorHAnsi" w:hAnsiTheme="minorHAnsi" w:cstheme="minorBidi"/>
          <w:sz w:val="22"/>
          <w:szCs w:val="22"/>
          <w:lang w:eastAsia="en-US"/>
        </w:rPr>
        <w:t>S</w:t>
      </w:r>
      <w:r w:rsidR="00C56B8B" w:rsidRPr="00C944D8">
        <w:rPr>
          <w:rFonts w:asciiTheme="minorHAnsi" w:eastAsiaTheme="minorHAnsi" w:hAnsiTheme="minorHAnsi" w:cstheme="minorBidi"/>
          <w:sz w:val="22"/>
          <w:szCs w:val="22"/>
          <w:lang w:eastAsia="en-US"/>
        </w:rPr>
        <w:t>outh Derbyshire District stands out as one of the fastest-growing local authority areas in England, seeing the population increase by 6.4% since 2021 and 20.5% since 2011. The district population is forecast to continue to grow and reach 135,951 by 2043. This presents significant challenges, but also opportunities to balance growth needs with conserving and enhancing landscape quality and restoring nature. 2.2 Demographic Headlines South Derbyshire District enjoys relative prosperity, with high levels of economic activity and annual earnings and low levels of unemployment and deprivation. However, pockets of deprivation do exist which is often linked to education, skills, training and social mobility. Local workforce qualification levels have improved over the last decade but remain below average. The presence of Further and Higher Education institutions in Derby, Burton, Coalville and Swadlincote present an opportunity to address this. Employment in manufacturing is around three times the national average. Major inward investors and re-investors include global businesses engaged in the production of transport equipment, food &amp; drink, and construction products. Much employment growth over the Local Plan period is expected to take place outside of the area’s traditional sectors, for example in logistics, health &amp; social care and the visitor economy, along with emerging significant new sectors such as digital and low carbon.</w:t>
      </w:r>
    </w:p>
    <w:p w14:paraId="48F2DEE2" w14:textId="77777777" w:rsidR="003D5376" w:rsidRDefault="003D5376" w:rsidP="00326A2C"/>
    <w:p w14:paraId="38A19889" w14:textId="77777777" w:rsidR="00A74D19" w:rsidRDefault="00A74D19" w:rsidP="00326A2C"/>
    <w:p w14:paraId="6E687A70" w14:textId="77777777" w:rsidR="00F806C2" w:rsidRDefault="00F806C2" w:rsidP="00326A2C"/>
    <w:p w14:paraId="38F86C82" w14:textId="77777777" w:rsidR="00F806C2" w:rsidRDefault="00F806C2" w:rsidP="00326A2C"/>
    <w:p w14:paraId="760D4F2F" w14:textId="77777777" w:rsidR="00F806C2" w:rsidRDefault="00F806C2" w:rsidP="00326A2C"/>
    <w:p w14:paraId="60C74FF4" w14:textId="77777777" w:rsidR="00F806C2" w:rsidRDefault="00F806C2" w:rsidP="00326A2C"/>
    <w:p w14:paraId="67172CE7" w14:textId="77777777" w:rsidR="00F806C2" w:rsidRDefault="00F806C2" w:rsidP="00326A2C"/>
    <w:p w14:paraId="69CAD39C" w14:textId="77777777" w:rsidR="00F806C2" w:rsidRDefault="00F806C2" w:rsidP="00326A2C"/>
    <w:p w14:paraId="1EBB9E32" w14:textId="3779D0F6" w:rsidR="003D5376" w:rsidRDefault="006D4239" w:rsidP="00447697">
      <w:pPr>
        <w:pStyle w:val="Heading1"/>
        <w:numPr>
          <w:ilvl w:val="0"/>
          <w:numId w:val="20"/>
        </w:numPr>
      </w:pPr>
      <w:r>
        <w:lastRenderedPageBreak/>
        <w:t>S</w:t>
      </w:r>
      <w:r w:rsidR="00447697" w:rsidRPr="00447697">
        <w:t>outh Derbyshire District</w:t>
      </w:r>
      <w:r w:rsidR="00447697">
        <w:t xml:space="preserve"> Council</w:t>
      </w:r>
    </w:p>
    <w:p w14:paraId="78BBD47A" w14:textId="77777777" w:rsidR="003D5376" w:rsidRDefault="003D5376" w:rsidP="00326A2C"/>
    <w:p w14:paraId="3EDFD3F3" w14:textId="77777777" w:rsidR="002A4B5B" w:rsidRPr="00693C80" w:rsidRDefault="002A4B5B" w:rsidP="002A4B5B">
      <w:pPr>
        <w:pStyle w:val="NormalWeb"/>
        <w:spacing w:before="0" w:beforeAutospacing="0" w:after="180" w:afterAutospacing="0"/>
        <w:rPr>
          <w:rFonts w:asciiTheme="minorHAnsi" w:eastAsiaTheme="minorHAnsi" w:hAnsiTheme="minorHAnsi" w:cstheme="minorBidi"/>
          <w:sz w:val="22"/>
          <w:szCs w:val="22"/>
          <w:lang w:eastAsia="en-US"/>
        </w:rPr>
      </w:pPr>
      <w:r w:rsidRPr="00693C80">
        <w:rPr>
          <w:rFonts w:asciiTheme="minorHAnsi" w:eastAsiaTheme="minorHAnsi" w:hAnsiTheme="minorHAnsi" w:cstheme="minorBidi"/>
          <w:sz w:val="22"/>
          <w:szCs w:val="22"/>
          <w:lang w:eastAsia="en-US"/>
        </w:rPr>
        <w:t>South Derbyshire District Council is the district-level local authority responsible for delivering a wide range of local public services to residents, businesses, and communities within the South Derbyshire district. It operates under the legislative framework set by UK central government, guided by its own constitution which explains how it makes decisions and operates legally and transparently. </w:t>
      </w:r>
    </w:p>
    <w:p w14:paraId="2BD2E546" w14:textId="77777777" w:rsidR="002A4B5B" w:rsidRPr="00C944D8" w:rsidRDefault="002A4B5B" w:rsidP="002A4B5B">
      <w:pPr>
        <w:pStyle w:val="NormalWeb"/>
        <w:spacing w:before="0" w:beforeAutospacing="0" w:after="180" w:afterAutospacing="0"/>
        <w:rPr>
          <w:rFonts w:asciiTheme="minorHAnsi" w:eastAsiaTheme="minorHAnsi" w:hAnsiTheme="minorHAnsi" w:cstheme="minorBidi"/>
          <w:sz w:val="22"/>
          <w:szCs w:val="22"/>
          <w:lang w:eastAsia="en-US"/>
        </w:rPr>
      </w:pPr>
    </w:p>
    <w:p w14:paraId="31854514" w14:textId="345A9C4E" w:rsidR="002A4B5B" w:rsidRPr="006C2A96" w:rsidRDefault="006C2A96" w:rsidP="002A4B5B">
      <w:pPr>
        <w:pStyle w:val="NormalWeb"/>
        <w:spacing w:before="0" w:beforeAutospacing="0" w:after="180" w:afterAutospacing="0"/>
        <w:rPr>
          <w:rFonts w:asciiTheme="minorHAnsi" w:eastAsiaTheme="minorHAnsi" w:hAnsiTheme="minorHAnsi" w:cstheme="minorBidi"/>
          <w:sz w:val="22"/>
          <w:szCs w:val="22"/>
          <w:lang w:eastAsia="en-US"/>
        </w:rPr>
      </w:pPr>
      <w:r w:rsidRPr="006C2A96">
        <w:rPr>
          <w:rFonts w:asciiTheme="minorHAnsi" w:eastAsiaTheme="minorHAnsi" w:hAnsiTheme="minorHAnsi" w:cstheme="minorBidi"/>
          <w:sz w:val="22"/>
          <w:szCs w:val="22"/>
          <w:lang w:eastAsia="en-US"/>
        </w:rPr>
        <w:t>T</w:t>
      </w:r>
      <w:r w:rsidR="002A4B5B" w:rsidRPr="006C2A96">
        <w:rPr>
          <w:rFonts w:asciiTheme="minorHAnsi" w:eastAsiaTheme="minorHAnsi" w:hAnsiTheme="minorHAnsi" w:cstheme="minorBidi"/>
          <w:sz w:val="22"/>
          <w:szCs w:val="22"/>
          <w:lang w:eastAsia="en-US"/>
        </w:rPr>
        <w:t xml:space="preserve">he </w:t>
      </w:r>
      <w:r w:rsidR="00431350">
        <w:rPr>
          <w:rFonts w:asciiTheme="minorHAnsi" w:eastAsiaTheme="minorHAnsi" w:hAnsiTheme="minorHAnsi" w:cstheme="minorBidi"/>
          <w:sz w:val="22"/>
          <w:szCs w:val="22"/>
          <w:lang w:eastAsia="en-US"/>
        </w:rPr>
        <w:t>C</w:t>
      </w:r>
      <w:r w:rsidR="002A4B5B" w:rsidRPr="006C2A96">
        <w:rPr>
          <w:rFonts w:asciiTheme="minorHAnsi" w:eastAsiaTheme="minorHAnsi" w:hAnsiTheme="minorHAnsi" w:cstheme="minorBidi"/>
          <w:sz w:val="22"/>
          <w:szCs w:val="22"/>
          <w:lang w:eastAsia="en-US"/>
        </w:rPr>
        <w:t>ouncil’s overarching purpose is encapsulated in its Council Plan 2024–2028 vision:</w:t>
      </w:r>
    </w:p>
    <w:p w14:paraId="60B7D221" w14:textId="77777777" w:rsidR="002A4B5B" w:rsidRPr="006C2A96" w:rsidRDefault="002A4B5B" w:rsidP="002A4B5B">
      <w:pPr>
        <w:pStyle w:val="NormalWeb"/>
        <w:spacing w:before="0" w:beforeAutospacing="0" w:after="180" w:afterAutospacing="0"/>
        <w:rPr>
          <w:rFonts w:asciiTheme="minorHAnsi" w:eastAsiaTheme="minorHAnsi" w:hAnsiTheme="minorHAnsi" w:cstheme="minorBidi"/>
          <w:sz w:val="22"/>
          <w:szCs w:val="22"/>
          <w:lang w:eastAsia="en-US"/>
        </w:rPr>
      </w:pPr>
    </w:p>
    <w:p w14:paraId="07051FDF" w14:textId="15BC2517" w:rsidR="002A4B5B" w:rsidRPr="006C2A96" w:rsidRDefault="002A4B5B" w:rsidP="006C2A96">
      <w:pPr>
        <w:pStyle w:val="NormalWeb"/>
        <w:spacing w:before="0" w:beforeAutospacing="0" w:after="0" w:afterAutospacing="0"/>
        <w:ind w:left="142" w:hanging="142"/>
        <w:rPr>
          <w:rFonts w:asciiTheme="minorHAnsi" w:eastAsiaTheme="minorHAnsi" w:hAnsiTheme="minorHAnsi" w:cstheme="minorBidi"/>
          <w:b/>
          <w:bCs/>
          <w:sz w:val="22"/>
          <w:szCs w:val="22"/>
          <w:lang w:eastAsia="en-US"/>
        </w:rPr>
      </w:pPr>
      <w:r w:rsidRPr="006C2A96">
        <w:rPr>
          <w:rFonts w:asciiTheme="minorHAnsi" w:eastAsiaTheme="minorHAnsi" w:hAnsiTheme="minorHAnsi" w:cstheme="minorBidi"/>
          <w:b/>
          <w:bCs/>
          <w:sz w:val="22"/>
          <w:szCs w:val="22"/>
          <w:lang w:eastAsia="en-US"/>
        </w:rPr>
        <w:t xml:space="preserve">“Work together to shape our environment, drive our economy and support our </w:t>
      </w:r>
      <w:r w:rsidR="006C2A96">
        <w:rPr>
          <w:rFonts w:asciiTheme="minorHAnsi" w:eastAsiaTheme="minorHAnsi" w:hAnsiTheme="minorHAnsi" w:cstheme="minorBidi"/>
          <w:b/>
          <w:bCs/>
          <w:sz w:val="22"/>
          <w:szCs w:val="22"/>
          <w:lang w:eastAsia="en-US"/>
        </w:rPr>
        <w:t>c</w:t>
      </w:r>
      <w:r w:rsidRPr="006C2A96">
        <w:rPr>
          <w:rFonts w:asciiTheme="minorHAnsi" w:eastAsiaTheme="minorHAnsi" w:hAnsiTheme="minorHAnsi" w:cstheme="minorBidi"/>
          <w:b/>
          <w:bCs/>
          <w:sz w:val="22"/>
          <w:szCs w:val="22"/>
          <w:lang w:eastAsia="en-US"/>
        </w:rPr>
        <w:t>ommunities.” </w:t>
      </w:r>
    </w:p>
    <w:p w14:paraId="6AA4665B" w14:textId="77777777" w:rsidR="002A4B5B" w:rsidRPr="006C2A96" w:rsidRDefault="002A4B5B" w:rsidP="002A4B5B">
      <w:pPr>
        <w:pStyle w:val="NormalWeb"/>
        <w:spacing w:before="0" w:beforeAutospacing="0" w:after="180" w:afterAutospacing="0"/>
        <w:rPr>
          <w:rFonts w:asciiTheme="minorHAnsi" w:eastAsiaTheme="minorHAnsi" w:hAnsiTheme="minorHAnsi" w:cstheme="minorBidi"/>
          <w:sz w:val="22"/>
          <w:szCs w:val="22"/>
          <w:lang w:eastAsia="en-US"/>
        </w:rPr>
      </w:pPr>
    </w:p>
    <w:p w14:paraId="3FF7A1AD" w14:textId="77777777" w:rsidR="002A4B5B" w:rsidRPr="006C2A96" w:rsidRDefault="002A4B5B" w:rsidP="002A4B5B">
      <w:pPr>
        <w:pStyle w:val="NormalWeb"/>
        <w:spacing w:before="0" w:beforeAutospacing="0" w:after="180" w:afterAutospacing="0"/>
        <w:rPr>
          <w:rFonts w:asciiTheme="minorHAnsi" w:eastAsiaTheme="minorHAnsi" w:hAnsiTheme="minorHAnsi" w:cstheme="minorBidi"/>
          <w:sz w:val="22"/>
          <w:szCs w:val="22"/>
          <w:lang w:eastAsia="en-US"/>
        </w:rPr>
      </w:pPr>
      <w:r w:rsidRPr="006C2A96">
        <w:rPr>
          <w:rFonts w:asciiTheme="minorHAnsi" w:eastAsiaTheme="minorHAnsi" w:hAnsiTheme="minorHAnsi" w:cstheme="minorBidi"/>
          <w:sz w:val="22"/>
          <w:szCs w:val="22"/>
          <w:lang w:eastAsia="en-US"/>
        </w:rPr>
        <w:t>It aims to deliver value-for-money services, improve quality of life locally, and promote sustainable development within South Derbyshire.</w:t>
      </w:r>
    </w:p>
    <w:p w14:paraId="53DA8781" w14:textId="1186D169" w:rsidR="002A4B5B" w:rsidRPr="00F15756" w:rsidRDefault="002A4B5B" w:rsidP="002A4B5B">
      <w:pPr>
        <w:pStyle w:val="NormalWeb"/>
        <w:spacing w:before="0" w:beforeAutospacing="0" w:after="180" w:afterAutospacing="0"/>
        <w:rPr>
          <w:rFonts w:asciiTheme="minorHAnsi" w:eastAsiaTheme="minorHAnsi" w:hAnsiTheme="minorHAnsi" w:cstheme="minorBidi"/>
          <w:sz w:val="22"/>
          <w:szCs w:val="22"/>
          <w:lang w:eastAsia="en-US"/>
        </w:rPr>
      </w:pPr>
      <w:r w:rsidRPr="00F15756">
        <w:rPr>
          <w:rFonts w:asciiTheme="minorHAnsi" w:eastAsiaTheme="minorHAnsi" w:hAnsiTheme="minorHAnsi" w:cstheme="minorBidi"/>
          <w:sz w:val="22"/>
          <w:szCs w:val="22"/>
          <w:lang w:eastAsia="en-US"/>
        </w:rPr>
        <w:t>As a district council, South Derbyshire District Council provides local services which are distinct from county-level services delivered by Derbyshire County Council</w:t>
      </w:r>
      <w:r w:rsidR="00F15756">
        <w:rPr>
          <w:rFonts w:asciiTheme="minorHAnsi" w:eastAsiaTheme="minorHAnsi" w:hAnsiTheme="minorHAnsi" w:cstheme="minorBidi"/>
          <w:sz w:val="22"/>
          <w:szCs w:val="22"/>
          <w:lang w:eastAsia="en-US"/>
        </w:rPr>
        <w:t xml:space="preserve"> including </w:t>
      </w:r>
      <w:r w:rsidRPr="00F15756">
        <w:rPr>
          <w:rFonts w:asciiTheme="minorHAnsi" w:eastAsiaTheme="minorHAnsi" w:hAnsiTheme="minorHAnsi" w:cstheme="minorBidi"/>
          <w:sz w:val="22"/>
          <w:szCs w:val="22"/>
          <w:lang w:eastAsia="en-US"/>
        </w:rPr>
        <w:t>education, social care</w:t>
      </w:r>
      <w:r w:rsidR="00F15756">
        <w:rPr>
          <w:rFonts w:asciiTheme="minorHAnsi" w:eastAsiaTheme="minorHAnsi" w:hAnsiTheme="minorHAnsi" w:cstheme="minorBidi"/>
          <w:sz w:val="22"/>
          <w:szCs w:val="22"/>
          <w:lang w:eastAsia="en-US"/>
        </w:rPr>
        <w:t xml:space="preserve"> and</w:t>
      </w:r>
      <w:r w:rsidRPr="00F15756">
        <w:rPr>
          <w:rFonts w:asciiTheme="minorHAnsi" w:eastAsiaTheme="minorHAnsi" w:hAnsiTheme="minorHAnsi" w:cstheme="minorBidi"/>
          <w:sz w:val="22"/>
          <w:szCs w:val="22"/>
          <w:lang w:eastAsia="en-US"/>
        </w:rPr>
        <w:t xml:space="preserve"> major highways. </w:t>
      </w:r>
    </w:p>
    <w:p w14:paraId="018D470B" w14:textId="77777777" w:rsidR="002A4B5B" w:rsidRDefault="002A4B5B" w:rsidP="002A4B5B">
      <w:pPr>
        <w:pStyle w:val="NormalWeb"/>
        <w:spacing w:before="0" w:beforeAutospacing="0" w:after="180" w:afterAutospacing="0"/>
        <w:rPr>
          <w:sz w:val="18"/>
          <w:szCs w:val="18"/>
        </w:rPr>
      </w:pPr>
    </w:p>
    <w:p w14:paraId="66259452" w14:textId="77777777" w:rsidR="002A4B5B" w:rsidRPr="00A20F8E" w:rsidRDefault="002A4B5B" w:rsidP="002A4B5B">
      <w:pPr>
        <w:pStyle w:val="NormalWeb"/>
        <w:spacing w:before="0" w:beforeAutospacing="0" w:after="180" w:afterAutospacing="0"/>
        <w:rPr>
          <w:rFonts w:asciiTheme="minorHAnsi" w:eastAsiaTheme="minorHAnsi" w:hAnsiTheme="minorHAnsi" w:cstheme="minorBidi"/>
          <w:sz w:val="22"/>
          <w:szCs w:val="22"/>
          <w:lang w:eastAsia="en-US"/>
        </w:rPr>
      </w:pPr>
      <w:r w:rsidRPr="00A20F8E">
        <w:rPr>
          <w:rFonts w:asciiTheme="minorHAnsi" w:eastAsiaTheme="minorHAnsi" w:hAnsiTheme="minorHAnsi" w:cstheme="minorBidi"/>
          <w:sz w:val="22"/>
          <w:szCs w:val="22"/>
          <w:lang w:eastAsia="en-US"/>
        </w:rPr>
        <w:t>The council is responsible for numerous local functions, including: </w:t>
      </w:r>
    </w:p>
    <w:p w14:paraId="4AB7ED3F" w14:textId="77777777" w:rsidR="002A4B5B" w:rsidRPr="00A20F8E" w:rsidRDefault="002A4B5B" w:rsidP="002A4B5B">
      <w:pPr>
        <w:pStyle w:val="NormalWeb"/>
        <w:spacing w:before="0" w:beforeAutospacing="0" w:after="180" w:afterAutospacing="0"/>
        <w:rPr>
          <w:rFonts w:asciiTheme="minorHAnsi" w:eastAsiaTheme="minorHAnsi" w:hAnsiTheme="minorHAnsi" w:cstheme="minorBidi"/>
          <w:sz w:val="22"/>
          <w:szCs w:val="22"/>
          <w:lang w:eastAsia="en-US"/>
        </w:rPr>
      </w:pPr>
    </w:p>
    <w:p w14:paraId="0D157377" w14:textId="77777777" w:rsidR="002A4B5B" w:rsidRPr="00A20F8E" w:rsidRDefault="002A4B5B" w:rsidP="002A4B5B">
      <w:pPr>
        <w:numPr>
          <w:ilvl w:val="0"/>
          <w:numId w:val="21"/>
        </w:numPr>
        <w:spacing w:after="180" w:line="240" w:lineRule="auto"/>
      </w:pPr>
      <w:r w:rsidRPr="00A20F8E">
        <w:t>Local Planning &amp; Development Control – planning applications and planning policy (e.g., Local Plan).  </w:t>
      </w:r>
    </w:p>
    <w:p w14:paraId="0AFB4D16" w14:textId="77777777" w:rsidR="002A4B5B" w:rsidRDefault="002A4B5B" w:rsidP="002A4B5B">
      <w:pPr>
        <w:numPr>
          <w:ilvl w:val="0"/>
          <w:numId w:val="21"/>
        </w:numPr>
        <w:spacing w:after="180" w:line="240" w:lineRule="auto"/>
      </w:pPr>
      <w:r w:rsidRPr="00A20F8E">
        <w:t>Housing Services – including affordable housing strategies and tenant support.  </w:t>
      </w:r>
    </w:p>
    <w:p w14:paraId="65C908F3" w14:textId="77777777" w:rsidR="002A4B5B" w:rsidRDefault="002A4B5B" w:rsidP="002A4B5B">
      <w:pPr>
        <w:numPr>
          <w:ilvl w:val="0"/>
          <w:numId w:val="21"/>
        </w:numPr>
        <w:spacing w:after="180" w:line="240" w:lineRule="auto"/>
      </w:pPr>
      <w:r w:rsidRPr="00A20F8E">
        <w:t>Environmental Services – waste collection, recycling, street cleaning.  </w:t>
      </w:r>
    </w:p>
    <w:p w14:paraId="6C6948D0" w14:textId="77777777" w:rsidR="002A4B5B" w:rsidRDefault="002A4B5B" w:rsidP="002A4B5B">
      <w:pPr>
        <w:numPr>
          <w:ilvl w:val="0"/>
          <w:numId w:val="21"/>
        </w:numPr>
        <w:spacing w:after="180" w:line="240" w:lineRule="auto"/>
      </w:pPr>
      <w:r w:rsidRPr="00A20F8E">
        <w:t>Council Tax &amp; Business Rates Billing – billing and collection functions.  </w:t>
      </w:r>
    </w:p>
    <w:p w14:paraId="1E1B3B0A" w14:textId="77777777" w:rsidR="002A4B5B" w:rsidRDefault="002A4B5B" w:rsidP="002A4B5B">
      <w:pPr>
        <w:numPr>
          <w:ilvl w:val="0"/>
          <w:numId w:val="21"/>
        </w:numPr>
        <w:spacing w:after="180" w:line="240" w:lineRule="auto"/>
      </w:pPr>
      <w:r w:rsidRPr="00A20F8E">
        <w:t>Benefits &amp; Universal Credit Support – assisting eligible residents.  </w:t>
      </w:r>
    </w:p>
    <w:p w14:paraId="15B4C2A1" w14:textId="77777777" w:rsidR="002A4B5B" w:rsidRDefault="002A4B5B" w:rsidP="002A4B5B">
      <w:pPr>
        <w:numPr>
          <w:ilvl w:val="0"/>
          <w:numId w:val="21"/>
        </w:numPr>
        <w:spacing w:after="180" w:line="240" w:lineRule="auto"/>
      </w:pPr>
      <w:r w:rsidRPr="00A20F8E">
        <w:t>Licensing – alcohol, entertainment and private hire licensing.  </w:t>
      </w:r>
    </w:p>
    <w:p w14:paraId="529B65B7" w14:textId="77777777" w:rsidR="002A4B5B" w:rsidRDefault="002A4B5B" w:rsidP="002A4B5B">
      <w:pPr>
        <w:numPr>
          <w:ilvl w:val="0"/>
          <w:numId w:val="21"/>
        </w:numPr>
        <w:spacing w:after="180" w:line="240" w:lineRule="auto"/>
      </w:pPr>
      <w:r w:rsidRPr="00A20F8E">
        <w:t>Births, Marriages &amp; Deaths Registration – civic services.  </w:t>
      </w:r>
    </w:p>
    <w:p w14:paraId="2E9A0568" w14:textId="77777777" w:rsidR="002A4B5B" w:rsidRDefault="002A4B5B" w:rsidP="002A4B5B">
      <w:pPr>
        <w:numPr>
          <w:ilvl w:val="0"/>
          <w:numId w:val="21"/>
        </w:numPr>
        <w:spacing w:after="180" w:line="240" w:lineRule="auto"/>
      </w:pPr>
      <w:r w:rsidRPr="00A20F8E">
        <w:t>Community &amp; Public Health Support – health, wellbeing, crime/community initiatives.  </w:t>
      </w:r>
    </w:p>
    <w:p w14:paraId="65CE3E25" w14:textId="77777777" w:rsidR="002A4B5B" w:rsidRDefault="002A4B5B" w:rsidP="002A4B5B">
      <w:pPr>
        <w:numPr>
          <w:ilvl w:val="0"/>
          <w:numId w:val="21"/>
        </w:numPr>
        <w:spacing w:after="180" w:line="240" w:lineRule="auto"/>
      </w:pPr>
      <w:r w:rsidRPr="00A20F8E">
        <w:t>Economic Development &amp; Business Support – investment and growth strategies.  </w:t>
      </w:r>
    </w:p>
    <w:p w14:paraId="343309B4" w14:textId="77777777" w:rsidR="002A4B5B" w:rsidRPr="009B1D95" w:rsidRDefault="002A4B5B" w:rsidP="002A4B5B">
      <w:pPr>
        <w:pStyle w:val="NormalWeb"/>
        <w:spacing w:before="0" w:beforeAutospacing="0" w:after="180" w:afterAutospacing="0"/>
        <w:rPr>
          <w:rFonts w:asciiTheme="minorHAnsi" w:eastAsiaTheme="minorHAnsi" w:hAnsiTheme="minorHAnsi" w:cstheme="minorBidi"/>
          <w:sz w:val="22"/>
          <w:szCs w:val="22"/>
          <w:lang w:eastAsia="en-US"/>
        </w:rPr>
      </w:pPr>
    </w:p>
    <w:p w14:paraId="51520C4F" w14:textId="2040F857" w:rsidR="002A4B5B" w:rsidRPr="009B1D95" w:rsidRDefault="002A4B5B" w:rsidP="009F36E5">
      <w:pPr>
        <w:spacing w:after="180" w:line="240" w:lineRule="auto"/>
      </w:pPr>
      <w:r w:rsidRPr="009B1D95">
        <w:t>The council consists of 36 elected councillors, representing 15 wards across the district</w:t>
      </w:r>
      <w:r w:rsidR="00435D20" w:rsidRPr="009B1D95">
        <w:t xml:space="preserve"> and employs </w:t>
      </w:r>
      <w:r w:rsidRPr="009B1D95">
        <w:t>several hundred staff members (around 340+ employees</w:t>
      </w:r>
      <w:r w:rsidR="00324104" w:rsidRPr="009B1D95">
        <w:t>)</w:t>
      </w:r>
      <w:r w:rsidR="009F36E5" w:rsidRPr="009B1D95">
        <w:t>.</w:t>
      </w:r>
      <w:r w:rsidRPr="009B1D95">
        <w:t xml:space="preserve"> </w:t>
      </w:r>
    </w:p>
    <w:p w14:paraId="4298A011" w14:textId="17DDC5A2" w:rsidR="002A4B5B" w:rsidRPr="00C55E86" w:rsidRDefault="002A4B5B" w:rsidP="002A4B5B">
      <w:pPr>
        <w:pStyle w:val="NormalWeb"/>
        <w:spacing w:before="0" w:beforeAutospacing="0" w:after="180" w:afterAutospacing="0"/>
        <w:rPr>
          <w:rFonts w:asciiTheme="minorHAnsi" w:eastAsiaTheme="minorHAnsi" w:hAnsiTheme="minorHAnsi" w:cstheme="minorBidi"/>
          <w:sz w:val="22"/>
          <w:szCs w:val="22"/>
          <w:lang w:eastAsia="en-US"/>
        </w:rPr>
      </w:pPr>
      <w:r w:rsidRPr="00C55E86">
        <w:rPr>
          <w:rFonts w:asciiTheme="minorHAnsi" w:eastAsiaTheme="minorHAnsi" w:hAnsiTheme="minorHAnsi" w:cstheme="minorBidi"/>
          <w:sz w:val="22"/>
          <w:szCs w:val="22"/>
          <w:lang w:eastAsia="en-US"/>
        </w:rPr>
        <w:t>S</w:t>
      </w:r>
      <w:r w:rsidR="001335C5">
        <w:rPr>
          <w:rFonts w:asciiTheme="minorHAnsi" w:eastAsiaTheme="minorHAnsi" w:hAnsiTheme="minorHAnsi" w:cstheme="minorBidi"/>
          <w:sz w:val="22"/>
          <w:szCs w:val="22"/>
          <w:lang w:eastAsia="en-US"/>
        </w:rPr>
        <w:t xml:space="preserve">outh </w:t>
      </w:r>
      <w:r w:rsidRPr="00C55E86">
        <w:rPr>
          <w:rFonts w:asciiTheme="minorHAnsi" w:eastAsiaTheme="minorHAnsi" w:hAnsiTheme="minorHAnsi" w:cstheme="minorBidi"/>
          <w:sz w:val="22"/>
          <w:szCs w:val="22"/>
          <w:lang w:eastAsia="en-US"/>
        </w:rPr>
        <w:t>D</w:t>
      </w:r>
      <w:r w:rsidR="001335C5">
        <w:rPr>
          <w:rFonts w:asciiTheme="minorHAnsi" w:eastAsiaTheme="minorHAnsi" w:hAnsiTheme="minorHAnsi" w:cstheme="minorBidi"/>
          <w:sz w:val="22"/>
          <w:szCs w:val="22"/>
          <w:lang w:eastAsia="en-US"/>
        </w:rPr>
        <w:t xml:space="preserve">erbyshire </w:t>
      </w:r>
      <w:r w:rsidRPr="00C55E86">
        <w:rPr>
          <w:rFonts w:asciiTheme="minorHAnsi" w:eastAsiaTheme="minorHAnsi" w:hAnsiTheme="minorHAnsi" w:cstheme="minorBidi"/>
          <w:sz w:val="22"/>
          <w:szCs w:val="22"/>
          <w:lang w:eastAsia="en-US"/>
        </w:rPr>
        <w:t>D</w:t>
      </w:r>
      <w:r w:rsidR="001335C5">
        <w:rPr>
          <w:rFonts w:asciiTheme="minorHAnsi" w:eastAsiaTheme="minorHAnsi" w:hAnsiTheme="minorHAnsi" w:cstheme="minorBidi"/>
          <w:sz w:val="22"/>
          <w:szCs w:val="22"/>
          <w:lang w:eastAsia="en-US"/>
        </w:rPr>
        <w:t xml:space="preserve">istrict </w:t>
      </w:r>
      <w:r w:rsidRPr="00C55E86">
        <w:rPr>
          <w:rFonts w:asciiTheme="minorHAnsi" w:eastAsiaTheme="minorHAnsi" w:hAnsiTheme="minorHAnsi" w:cstheme="minorBidi"/>
          <w:sz w:val="22"/>
          <w:szCs w:val="22"/>
          <w:lang w:eastAsia="en-US"/>
        </w:rPr>
        <w:t>C</w:t>
      </w:r>
      <w:r w:rsidR="001335C5">
        <w:rPr>
          <w:rFonts w:asciiTheme="minorHAnsi" w:eastAsiaTheme="minorHAnsi" w:hAnsiTheme="minorHAnsi" w:cstheme="minorBidi"/>
          <w:sz w:val="22"/>
          <w:szCs w:val="22"/>
          <w:lang w:eastAsia="en-US"/>
        </w:rPr>
        <w:t>ouncil</w:t>
      </w:r>
      <w:r w:rsidRPr="00C55E86">
        <w:rPr>
          <w:rFonts w:asciiTheme="minorHAnsi" w:eastAsiaTheme="minorHAnsi" w:hAnsiTheme="minorHAnsi" w:cstheme="minorBidi"/>
          <w:sz w:val="22"/>
          <w:szCs w:val="22"/>
          <w:lang w:eastAsia="en-US"/>
        </w:rPr>
        <w:t xml:space="preserve"> is led by elected councillors, who make policies, strategic decisions, and set priorities through a formal democratic process. </w:t>
      </w:r>
    </w:p>
    <w:p w14:paraId="28C9FD93" w14:textId="1771908B" w:rsidR="002A4B5B" w:rsidRDefault="002A4B5B" w:rsidP="0053723C">
      <w:pPr>
        <w:spacing w:after="180" w:line="240" w:lineRule="auto"/>
      </w:pPr>
      <w:r w:rsidRPr="00C55E86">
        <w:lastRenderedPageBreak/>
        <w:t>The Full Council comprises all 36 councillors.</w:t>
      </w:r>
      <w:r w:rsidR="0053723C" w:rsidRPr="00C55E86">
        <w:t xml:space="preserve"> I</w:t>
      </w:r>
      <w:r w:rsidRPr="00C55E86">
        <w:t>t sets the policy framework, approves the budget, and makes major decisions.  </w:t>
      </w:r>
    </w:p>
    <w:p w14:paraId="66345B2B" w14:textId="77777777" w:rsidR="002A4B5B" w:rsidRPr="00C55E86" w:rsidRDefault="002A4B5B" w:rsidP="00305C59">
      <w:pPr>
        <w:spacing w:after="180" w:line="240" w:lineRule="auto"/>
      </w:pPr>
      <w:r w:rsidRPr="00C55E86">
        <w:t>The Leader of the Council (political head) provides strategic political leadership and sets the direction for council priorities.  </w:t>
      </w:r>
    </w:p>
    <w:p w14:paraId="7810809C" w14:textId="77777777" w:rsidR="002A4B5B" w:rsidRPr="00C55E86" w:rsidRDefault="002A4B5B" w:rsidP="002A4B5B">
      <w:pPr>
        <w:pStyle w:val="NormalWeb"/>
        <w:spacing w:before="0" w:beforeAutospacing="0" w:after="180" w:afterAutospacing="0"/>
        <w:rPr>
          <w:rFonts w:asciiTheme="minorHAnsi" w:eastAsiaTheme="minorHAnsi" w:hAnsiTheme="minorHAnsi" w:cstheme="minorBidi"/>
          <w:sz w:val="22"/>
          <w:szCs w:val="22"/>
          <w:lang w:eastAsia="en-US"/>
        </w:rPr>
      </w:pPr>
      <w:r w:rsidRPr="00C55E86">
        <w:rPr>
          <w:rFonts w:asciiTheme="minorHAnsi" w:eastAsiaTheme="minorHAnsi" w:hAnsiTheme="minorHAnsi" w:cstheme="minorBidi"/>
          <w:sz w:val="22"/>
          <w:szCs w:val="22"/>
          <w:lang w:eastAsia="en-US"/>
        </w:rPr>
        <w:t>Committees drive decision-making and oversight in key areas:</w:t>
      </w:r>
    </w:p>
    <w:p w14:paraId="2C22E526" w14:textId="77777777" w:rsidR="002A4B5B" w:rsidRPr="00C55E86" w:rsidRDefault="002A4B5B" w:rsidP="002A4B5B">
      <w:pPr>
        <w:pStyle w:val="NormalWeb"/>
        <w:spacing w:before="0" w:beforeAutospacing="0" w:after="180" w:afterAutospacing="0"/>
        <w:rPr>
          <w:rFonts w:asciiTheme="minorHAnsi" w:eastAsiaTheme="minorHAnsi" w:hAnsiTheme="minorHAnsi" w:cstheme="minorBidi"/>
          <w:sz w:val="22"/>
          <w:szCs w:val="22"/>
          <w:lang w:eastAsia="en-US"/>
        </w:rPr>
      </w:pPr>
    </w:p>
    <w:p w14:paraId="51BD9BAD" w14:textId="77777777" w:rsidR="002A4B5B" w:rsidRPr="00C55E86" w:rsidRDefault="002A4B5B" w:rsidP="002A4B5B">
      <w:pPr>
        <w:numPr>
          <w:ilvl w:val="0"/>
          <w:numId w:val="26"/>
        </w:numPr>
        <w:spacing w:after="180" w:line="240" w:lineRule="auto"/>
      </w:pPr>
      <w:r w:rsidRPr="00C55E86">
        <w:t>Finance and Management Committee – oversees financial planning.  </w:t>
      </w:r>
    </w:p>
    <w:p w14:paraId="720A1084" w14:textId="77777777" w:rsidR="002A4B5B" w:rsidRDefault="002A4B5B" w:rsidP="002A4B5B">
      <w:pPr>
        <w:numPr>
          <w:ilvl w:val="0"/>
          <w:numId w:val="26"/>
        </w:numPr>
        <w:spacing w:after="180" w:line="240" w:lineRule="auto"/>
      </w:pPr>
      <w:r w:rsidRPr="00C55E86">
        <w:t>Environmental &amp; Development Services Committee – monitors delivery of services like planning and environment.  </w:t>
      </w:r>
    </w:p>
    <w:p w14:paraId="07287B89" w14:textId="77777777" w:rsidR="002A4B5B" w:rsidRDefault="002A4B5B" w:rsidP="002A4B5B">
      <w:pPr>
        <w:numPr>
          <w:ilvl w:val="0"/>
          <w:numId w:val="26"/>
        </w:numPr>
        <w:spacing w:after="180" w:line="240" w:lineRule="auto"/>
      </w:pPr>
      <w:r w:rsidRPr="00C55E86">
        <w:t>Housing &amp; Community Services Committee – focuses on housing and community delivery.  </w:t>
      </w:r>
    </w:p>
    <w:p w14:paraId="3717F9AE" w14:textId="77777777" w:rsidR="002A4B5B" w:rsidRDefault="002A4B5B" w:rsidP="002A4B5B">
      <w:pPr>
        <w:numPr>
          <w:ilvl w:val="0"/>
          <w:numId w:val="26"/>
        </w:numPr>
        <w:spacing w:after="180" w:line="240" w:lineRule="auto"/>
      </w:pPr>
      <w:r w:rsidRPr="00C55E86">
        <w:t>Overview &amp; Scrutiny Committee – reviews policies and council performance.  </w:t>
      </w:r>
    </w:p>
    <w:p w14:paraId="2DD269EB" w14:textId="77777777" w:rsidR="002A4B5B" w:rsidRDefault="002A4B5B" w:rsidP="002A4B5B">
      <w:pPr>
        <w:numPr>
          <w:ilvl w:val="0"/>
          <w:numId w:val="26"/>
        </w:numPr>
        <w:spacing w:after="180" w:line="240" w:lineRule="auto"/>
      </w:pPr>
      <w:r w:rsidRPr="00C55E86">
        <w:t>Audit &amp; Governance Committee – ensures good governance, risk, and audit oversight.  </w:t>
      </w:r>
    </w:p>
    <w:p w14:paraId="7C3630D0" w14:textId="77777777" w:rsidR="002A4B5B" w:rsidRDefault="002A4B5B" w:rsidP="002A4B5B">
      <w:pPr>
        <w:numPr>
          <w:ilvl w:val="0"/>
          <w:numId w:val="26"/>
        </w:numPr>
        <w:spacing w:after="180" w:line="240" w:lineRule="auto"/>
      </w:pPr>
      <w:r w:rsidRPr="00C55E86">
        <w:t>Development Management Committee – handles planning application decisions.  </w:t>
      </w:r>
    </w:p>
    <w:p w14:paraId="45FB909A" w14:textId="77777777" w:rsidR="002A4B5B" w:rsidRDefault="002A4B5B" w:rsidP="002A4B5B">
      <w:pPr>
        <w:numPr>
          <w:ilvl w:val="0"/>
          <w:numId w:val="26"/>
        </w:numPr>
        <w:spacing w:after="180" w:line="240" w:lineRule="auto"/>
      </w:pPr>
      <w:r w:rsidRPr="00C55E86">
        <w:t>Licensing &amp; Appeals Sub-Committee – handles licensing and employee appeal matters.  </w:t>
      </w:r>
    </w:p>
    <w:p w14:paraId="5EE7334B" w14:textId="77777777" w:rsidR="002A4B5B" w:rsidRPr="00C55E86" w:rsidRDefault="002A4B5B" w:rsidP="002A4B5B">
      <w:pPr>
        <w:pStyle w:val="NormalWeb"/>
        <w:spacing w:before="0" w:beforeAutospacing="0" w:after="180" w:afterAutospacing="0"/>
        <w:rPr>
          <w:rFonts w:asciiTheme="minorHAnsi" w:eastAsiaTheme="minorHAnsi" w:hAnsiTheme="minorHAnsi" w:cstheme="minorBidi"/>
          <w:sz w:val="22"/>
          <w:szCs w:val="22"/>
          <w:lang w:eastAsia="en-US"/>
        </w:rPr>
      </w:pPr>
    </w:p>
    <w:p w14:paraId="49768BFF" w14:textId="77777777" w:rsidR="002A4B5B" w:rsidRPr="00C55E86" w:rsidRDefault="002A4B5B" w:rsidP="002A4B5B">
      <w:pPr>
        <w:pStyle w:val="NormalWeb"/>
        <w:spacing w:before="0" w:beforeAutospacing="0" w:after="180" w:afterAutospacing="0"/>
        <w:rPr>
          <w:rFonts w:asciiTheme="minorHAnsi" w:eastAsiaTheme="minorHAnsi" w:hAnsiTheme="minorHAnsi" w:cstheme="minorBidi"/>
          <w:sz w:val="22"/>
          <w:szCs w:val="22"/>
          <w:lang w:eastAsia="en-US"/>
        </w:rPr>
      </w:pPr>
      <w:r w:rsidRPr="00C55E86">
        <w:rPr>
          <w:rFonts w:asciiTheme="minorHAnsi" w:eastAsiaTheme="minorHAnsi" w:hAnsiTheme="minorHAnsi" w:cstheme="minorBidi"/>
          <w:sz w:val="22"/>
          <w:szCs w:val="22"/>
          <w:lang w:eastAsia="en-US"/>
        </w:rPr>
        <w:t>Local Area Forums also enable community engagement on local issues. </w:t>
      </w:r>
    </w:p>
    <w:p w14:paraId="412F2F65" w14:textId="19C4F299" w:rsidR="002A4B5B" w:rsidRPr="009B1D95" w:rsidRDefault="002A4B5B" w:rsidP="002A4B5B">
      <w:pPr>
        <w:pStyle w:val="NormalWeb"/>
        <w:spacing w:before="0" w:beforeAutospacing="0" w:after="180" w:afterAutospacing="0"/>
        <w:rPr>
          <w:rFonts w:asciiTheme="minorHAnsi" w:eastAsiaTheme="minorHAnsi" w:hAnsiTheme="minorHAnsi" w:cstheme="minorBidi"/>
          <w:sz w:val="22"/>
          <w:szCs w:val="22"/>
          <w:lang w:eastAsia="en-US"/>
        </w:rPr>
      </w:pPr>
      <w:r w:rsidRPr="009B1D95">
        <w:rPr>
          <w:rFonts w:asciiTheme="minorHAnsi" w:eastAsiaTheme="minorHAnsi" w:hAnsiTheme="minorHAnsi" w:cstheme="minorBidi"/>
          <w:sz w:val="22"/>
          <w:szCs w:val="22"/>
          <w:lang w:eastAsia="en-US"/>
        </w:rPr>
        <w:t>The council’s corporate leadership team consists of paid senior officers responsible for delivering council services and executing elected members’ policies</w:t>
      </w:r>
      <w:r w:rsidR="00113EAA" w:rsidRPr="009B1D95">
        <w:rPr>
          <w:rFonts w:asciiTheme="minorHAnsi" w:eastAsiaTheme="minorHAnsi" w:hAnsiTheme="minorHAnsi" w:cstheme="minorBidi"/>
          <w:sz w:val="22"/>
          <w:szCs w:val="22"/>
          <w:lang w:eastAsia="en-US"/>
        </w:rPr>
        <w:t xml:space="preserve"> and includes </w:t>
      </w:r>
      <w:proofErr w:type="gramStart"/>
      <w:r w:rsidR="00113EAA" w:rsidRPr="009B1D95">
        <w:rPr>
          <w:rFonts w:asciiTheme="minorHAnsi" w:eastAsiaTheme="minorHAnsi" w:hAnsiTheme="minorHAnsi" w:cstheme="minorBidi"/>
          <w:sz w:val="22"/>
          <w:szCs w:val="22"/>
          <w:lang w:eastAsia="en-US"/>
        </w:rPr>
        <w:t>a</w:t>
      </w:r>
      <w:r w:rsidR="009B1D95" w:rsidRPr="009B1D95">
        <w:rPr>
          <w:rFonts w:asciiTheme="minorHAnsi" w:eastAsiaTheme="minorHAnsi" w:hAnsiTheme="minorHAnsi" w:cstheme="minorBidi"/>
          <w:sz w:val="22"/>
          <w:szCs w:val="22"/>
          <w:lang w:eastAsia="en-US"/>
        </w:rPr>
        <w:t xml:space="preserve"> :</w:t>
      </w:r>
      <w:proofErr w:type="gramEnd"/>
      <w:r w:rsidR="009B1D95" w:rsidRPr="009B1D95">
        <w:rPr>
          <w:rFonts w:asciiTheme="minorHAnsi" w:eastAsiaTheme="minorHAnsi" w:hAnsiTheme="minorHAnsi" w:cstheme="minorBidi"/>
          <w:sz w:val="22"/>
          <w:szCs w:val="22"/>
          <w:lang w:eastAsia="en-US"/>
        </w:rPr>
        <w:t xml:space="preserve"> </w:t>
      </w:r>
    </w:p>
    <w:p w14:paraId="4A3A0A49" w14:textId="77777777" w:rsidR="002A4B5B" w:rsidRPr="009B1D95" w:rsidRDefault="002A4B5B" w:rsidP="002A4B5B">
      <w:pPr>
        <w:numPr>
          <w:ilvl w:val="0"/>
          <w:numId w:val="27"/>
        </w:numPr>
        <w:spacing w:after="180" w:line="240" w:lineRule="auto"/>
      </w:pPr>
      <w:r w:rsidRPr="009B1D95">
        <w:t>Chief Executive – Head of the paid service, working with both councillors and officers to implement strategic priorities.  </w:t>
      </w:r>
    </w:p>
    <w:p w14:paraId="2FA96F22" w14:textId="77777777" w:rsidR="002A4B5B" w:rsidRDefault="002A4B5B" w:rsidP="002A4B5B">
      <w:pPr>
        <w:numPr>
          <w:ilvl w:val="0"/>
          <w:numId w:val="27"/>
        </w:numPr>
        <w:spacing w:after="180" w:line="240" w:lineRule="auto"/>
      </w:pPr>
      <w:r w:rsidRPr="009B1D95">
        <w:t>Executive Directors – senior leads covering major service areas such as Place &amp; Prosperity, Environment &amp; Communities, Resources &amp; Transformation, and Law &amp; People (including statutory roles like the Section 151 Officer and Monitoring Officer).  </w:t>
      </w:r>
    </w:p>
    <w:p w14:paraId="12193250" w14:textId="77777777" w:rsidR="002A4B5B" w:rsidRDefault="002A4B5B" w:rsidP="002A4B5B">
      <w:pPr>
        <w:numPr>
          <w:ilvl w:val="0"/>
          <w:numId w:val="27"/>
        </w:numPr>
        <w:spacing w:after="180" w:line="240" w:lineRule="auto"/>
      </w:pPr>
      <w:r w:rsidRPr="009B1D95">
        <w:t>Assistant Directors &amp; Heads of Service – responsible for operational delivery, including planning, environmental services, housing, finance, legal &amp; democratic services, customer services, ICT, and corporate property.  </w:t>
      </w:r>
    </w:p>
    <w:p w14:paraId="68069051" w14:textId="77777777" w:rsidR="003D5376" w:rsidRDefault="003D5376" w:rsidP="00326A2C"/>
    <w:p w14:paraId="30CF77E2" w14:textId="77777777" w:rsidR="00906016" w:rsidRDefault="00906016" w:rsidP="00326A2C"/>
    <w:p w14:paraId="508F4BD2" w14:textId="77777777" w:rsidR="00A138A8" w:rsidRDefault="00A138A8" w:rsidP="00326A2C"/>
    <w:p w14:paraId="0DD994EE" w14:textId="77777777" w:rsidR="00A138A8" w:rsidRDefault="00A138A8" w:rsidP="00326A2C"/>
    <w:p w14:paraId="31881C04" w14:textId="77777777" w:rsidR="00A138A8" w:rsidRDefault="00A138A8" w:rsidP="00326A2C"/>
    <w:p w14:paraId="1D497B6C" w14:textId="77777777" w:rsidR="00A138A8" w:rsidRDefault="00A138A8" w:rsidP="00326A2C"/>
    <w:p w14:paraId="44B6697E" w14:textId="77777777" w:rsidR="00A138A8" w:rsidRDefault="00A138A8" w:rsidP="00326A2C"/>
    <w:p w14:paraId="63E82E52" w14:textId="189E57A2" w:rsidR="00836C9C" w:rsidRDefault="00F62885" w:rsidP="00540B58">
      <w:pPr>
        <w:pStyle w:val="Heading1"/>
        <w:numPr>
          <w:ilvl w:val="0"/>
          <w:numId w:val="20"/>
        </w:numPr>
      </w:pPr>
      <w:bookmarkStart w:id="9" w:name="_Toc216259240"/>
      <w:r>
        <w:lastRenderedPageBreak/>
        <w:t>T</w:t>
      </w:r>
      <w:r w:rsidR="00836C9C">
        <w:t>op Achievements</w:t>
      </w:r>
      <w:bookmarkEnd w:id="9"/>
    </w:p>
    <w:p w14:paraId="4D9C0486" w14:textId="77777777" w:rsidR="00C826B6" w:rsidRDefault="00C826B6" w:rsidP="00C826B6"/>
    <w:p w14:paraId="75B629CB" w14:textId="77777777" w:rsidR="00277ED9" w:rsidRDefault="00277ED9" w:rsidP="00277ED9">
      <w:r>
        <w:t>South Derbyshire District Council (SDDC) has strengthened its commitment to addressing the Climate and Ecological Emergency declared in 2019 through strategic investment, partnership development, habitat protection and community engagement.</w:t>
      </w:r>
    </w:p>
    <w:p w14:paraId="689AA940" w14:textId="77777777" w:rsidR="00277ED9" w:rsidRDefault="00277ED9" w:rsidP="00277ED9">
      <w:r>
        <w:t>The Council has secured £500,000 to support carbon reduction feasibility studies to 2028 and £144,000 to establish a South Derbyshire Local Nature Partnership, now progressing to formal partner commitment. SDDC is also coordinating closely with county partners on the forthcoming Local Nature Recovery Strategy (LNRS) to identify and deliver priority areas for nature recovery.</w:t>
      </w:r>
    </w:p>
    <w:p w14:paraId="30C3446A" w14:textId="77777777" w:rsidR="00277ED9" w:rsidRDefault="00277ED9" w:rsidP="00277ED9">
      <w:r>
        <w:t>Significant progress has been made in protecting and enhancing biodiversity. Through the planning process, 22.5 hectares of meadow habitat has been secured for skylark mitigation, and SDDC has provided expert input to safeguard rare MG4/MG5 lowland meadow grassland, one of only two such examples in the district. Three parks have been permanently protected through Fields in Trust, with additional sites progressing, and six Green Flag Awards have been achieved for high-quality park management.</w:t>
      </w:r>
    </w:p>
    <w:p w14:paraId="6373207B" w14:textId="77777777" w:rsidR="00277ED9" w:rsidRDefault="00277ED9" w:rsidP="00277ED9">
      <w:r>
        <w:t>Practical enhancements include installation of bird and bat boxes, creation of invertebrate habitat gabions, wildflower meadow expansion, and the planting of over 2,300 trees. The Council has also introduced a district-wide ban on balloon and sky lantern releases to prevent environmental harm.</w:t>
      </w:r>
    </w:p>
    <w:p w14:paraId="11B5E5E0" w14:textId="77777777" w:rsidR="00277ED9" w:rsidRDefault="00277ED9" w:rsidP="00277ED9">
      <w:r>
        <w:t xml:space="preserve">SDDC is working with partners, including Trent Rivers Trust, to deliver river habitat improvements at </w:t>
      </w:r>
      <w:proofErr w:type="spellStart"/>
      <w:r>
        <w:t>Pessall</w:t>
      </w:r>
      <w:proofErr w:type="spellEnd"/>
      <w:r>
        <w:t xml:space="preserve"> Brook and has commissioned water quality work to support management planning at Castle Hill Wood. Plans are in place to designate further Local Nature Reserves on open mosaic habitat sites.</w:t>
      </w:r>
    </w:p>
    <w:p w14:paraId="680F85AE" w14:textId="77777777" w:rsidR="00277ED9" w:rsidRDefault="00277ED9" w:rsidP="00277ED9">
      <w:r>
        <w:t>A strong programme of volunteering and public engagement supports nature recovery, including conservation task days, community gardening groups, species monitoring and educational activities with local schools. The emerging Grass Management Strategy 2025 reflects a strategic shift toward enhanced meadow management, reduced mowing and increased floristic diversity across public green spaces.</w:t>
      </w:r>
    </w:p>
    <w:p w14:paraId="748AD23A" w14:textId="28EE6EC7" w:rsidR="00C826B6" w:rsidRDefault="00277ED9" w:rsidP="00277ED9">
      <w:r>
        <w:t>Overall, SDDC is embedding biodiversity, climate resilience and ecological recovery at the heart of local policy, land management and community collaboration.</w:t>
      </w:r>
    </w:p>
    <w:p w14:paraId="087FECA9" w14:textId="77777777" w:rsidR="00C826B6" w:rsidRDefault="00C826B6" w:rsidP="00C826B6"/>
    <w:p w14:paraId="06473701" w14:textId="77777777" w:rsidR="00A138A8" w:rsidRDefault="00A138A8" w:rsidP="00C826B6"/>
    <w:p w14:paraId="6098F907" w14:textId="77777777" w:rsidR="00A138A8" w:rsidRDefault="00A138A8" w:rsidP="00C826B6"/>
    <w:p w14:paraId="102AFA08" w14:textId="77777777" w:rsidR="00A138A8" w:rsidRDefault="00A138A8" w:rsidP="00C826B6"/>
    <w:p w14:paraId="748D7763" w14:textId="77777777" w:rsidR="00A138A8" w:rsidRDefault="00A138A8" w:rsidP="00C826B6"/>
    <w:p w14:paraId="51FB7AB7" w14:textId="77777777" w:rsidR="00A138A8" w:rsidRDefault="00A138A8" w:rsidP="00C826B6"/>
    <w:p w14:paraId="7F4A62FA" w14:textId="77777777" w:rsidR="00A138A8" w:rsidRDefault="00A138A8" w:rsidP="00C826B6"/>
    <w:p w14:paraId="76A0E8D8" w14:textId="7D70C93E" w:rsidR="00836C9C" w:rsidRDefault="00836C9C" w:rsidP="00540B58">
      <w:pPr>
        <w:pStyle w:val="Heading1"/>
        <w:numPr>
          <w:ilvl w:val="0"/>
          <w:numId w:val="20"/>
        </w:numPr>
      </w:pPr>
      <w:bookmarkStart w:id="10" w:name="_Toc216259241"/>
      <w:r>
        <w:lastRenderedPageBreak/>
        <w:t>Consideration of Other Strategies</w:t>
      </w:r>
      <w:bookmarkEnd w:id="10"/>
    </w:p>
    <w:p w14:paraId="40E86868" w14:textId="77777777" w:rsidR="00C826B6" w:rsidRDefault="00C826B6" w:rsidP="00C826B6"/>
    <w:p w14:paraId="58005999" w14:textId="236E5F39" w:rsidR="00E1669B" w:rsidRDefault="00E1669B" w:rsidP="00E1669B">
      <w:pPr>
        <w:pStyle w:val="Heading2"/>
      </w:pPr>
      <w:r>
        <w:t>Grassland Conservation Management</w:t>
      </w:r>
    </w:p>
    <w:p w14:paraId="749AF440" w14:textId="4226726B" w:rsidR="008613F4" w:rsidRDefault="008613F4" w:rsidP="008613F4">
      <w:r>
        <w:t>SDDC has expanded its meadow and grass management programme under the emerging Grass Management Strategy 2025, demonstrating a clear shift towards:</w:t>
      </w:r>
    </w:p>
    <w:p w14:paraId="4BFAE95A" w14:textId="77777777" w:rsidR="008613F4" w:rsidRDefault="008613F4" w:rsidP="008613F4">
      <w:r>
        <w:t>•</w:t>
      </w:r>
      <w:r>
        <w:tab/>
        <w:t>Reduced mowing regimes,</w:t>
      </w:r>
    </w:p>
    <w:p w14:paraId="73D7105D" w14:textId="77777777" w:rsidR="008613F4" w:rsidRDefault="008613F4" w:rsidP="008613F4">
      <w:r>
        <w:t>•</w:t>
      </w:r>
      <w:r>
        <w:tab/>
        <w:t>Increased floristic diversity, and</w:t>
      </w:r>
    </w:p>
    <w:p w14:paraId="6452868B" w14:textId="1C9BA47E" w:rsidR="00701C02" w:rsidRDefault="008613F4" w:rsidP="008613F4">
      <w:r>
        <w:t>•</w:t>
      </w:r>
      <w:r>
        <w:tab/>
        <w:t>Enhanced pollinator and wildlife habitat networks across parks and public green spaces.</w:t>
      </w:r>
    </w:p>
    <w:p w14:paraId="44F44950" w14:textId="58F7448D" w:rsidR="00701C02" w:rsidRDefault="006310D1" w:rsidP="00E1669B">
      <w:pPr>
        <w:pStyle w:val="Heading2"/>
      </w:pPr>
      <w:r>
        <w:t>Green Flag Awards</w:t>
      </w:r>
    </w:p>
    <w:p w14:paraId="3751D36C" w14:textId="77777777" w:rsidR="006310D1" w:rsidRDefault="006310D1" w:rsidP="006310D1">
      <w:r>
        <w:t>We directly manage five large urban parks covering an area of approximately 21 hectares, the latest being Cadley Park which was opened in 2022, together with the 30-hectare urban forest park of Swadlincote Woodlands. In addition, we manage over 60 hectares of public open space which includes local nature reserves, wildlife areas, football pitches, eight allotment sites and large areas of common land.</w:t>
      </w:r>
    </w:p>
    <w:p w14:paraId="5928B385" w14:textId="77777777" w:rsidR="006310D1" w:rsidRDefault="006310D1" w:rsidP="006310D1">
      <w:r>
        <w:t>Green Flag Award Status is achieved for Eureka Park, Maurice Lea Memorial Park Cadley Park and Swadlincote Woodlands. Our aim is to add to this with a further 3 green flags over the coming years for Newhall Park, Church Gresley Cemetery and Rosliston Forestry Centre (which we manage in partnership with Forestry England / the National Forest).</w:t>
      </w:r>
    </w:p>
    <w:p w14:paraId="097BD4A1" w14:textId="77777777" w:rsidR="006310D1" w:rsidRDefault="006310D1" w:rsidP="006310D1">
      <w:r>
        <w:t>Rosliston Forestry Centre is a 154 acre site and located at the heart of The National Forest and is a mix of woodland and meadow, ponds and play areas for visitors of all ages to enjoy. The centre provides visitor information, toilets, shop, wedding venue, holiday lodges, education centre, café, soft play, falconry centre and wheelchair hire.</w:t>
      </w:r>
    </w:p>
    <w:p w14:paraId="6E98D9C3" w14:textId="77777777" w:rsidR="006310D1" w:rsidRDefault="006310D1" w:rsidP="006310D1">
      <w:r>
        <w:t xml:space="preserve">In </w:t>
      </w:r>
      <w:proofErr w:type="gramStart"/>
      <w:r>
        <w:t>addition</w:t>
      </w:r>
      <w:proofErr w:type="gramEnd"/>
      <w:r>
        <w:t xml:space="preserve"> we manage and maintain a number of cemeteries at Aston-on-Trent, Church Gresley, Etwall, Findern, Marston- on- Dove and Newhall. Most of our cemeteries have consecrated (blessed as sacred) and </w:t>
      </w:r>
      <w:proofErr w:type="spellStart"/>
      <w:r>
        <w:t>unconsecrated</w:t>
      </w:r>
      <w:proofErr w:type="spellEnd"/>
      <w:r>
        <w:t xml:space="preserve"> areas where graves can be bought. We are also responsible for a number of closed churchyards  </w:t>
      </w:r>
    </w:p>
    <w:p w14:paraId="1E2ED5E5" w14:textId="78E6ED4C" w:rsidR="00701C02" w:rsidRDefault="006310D1" w:rsidP="006310D1">
      <w:r>
        <w:t xml:space="preserve">We have more than 30 play areas, catering for a wide range of age groups. Our playgrounds strike a balance between providing a stimulating learning environment and meeting safety requirements. We also manage and maintain three skate parks, in </w:t>
      </w:r>
      <w:proofErr w:type="spellStart"/>
      <w:r>
        <w:t>Peacroft</w:t>
      </w:r>
      <w:proofErr w:type="spellEnd"/>
      <w:r>
        <w:t xml:space="preserve"> Lane, Hilton, at Newhall Park and on Common Road, Swadlincote. We also have outdoor green gym equipment at Maurice Lea Memorial Park, Eureka Park and Newhall Park.</w:t>
      </w:r>
    </w:p>
    <w:p w14:paraId="1E919D46" w14:textId="2B718865" w:rsidR="009468D6" w:rsidRDefault="009468D6" w:rsidP="00876CFA">
      <w:pPr>
        <w:pStyle w:val="Heading2"/>
      </w:pPr>
      <w:r>
        <w:t xml:space="preserve">Proactive Skylark mitigation in the planning process </w:t>
      </w:r>
    </w:p>
    <w:p w14:paraId="23608D07" w14:textId="23340ADE" w:rsidR="009F0ADF" w:rsidRDefault="009F0ADF" w:rsidP="009F0ADF">
      <w:r>
        <w:t xml:space="preserve">South Derbyshire District Council are actively progressing enhanced protection for skylark and other ground nesting birds with the South Derbyshire planning process and as an internal document to be included within the Local Plan for South Derbyshire, so to address the small and progressive decline in skylark territories within the </w:t>
      </w:r>
      <w:proofErr w:type="gramStart"/>
      <w:r>
        <w:t>District</w:t>
      </w:r>
      <w:proofErr w:type="gramEnd"/>
      <w:r>
        <w:t xml:space="preserve"> due to small incremental losses due to planning applications</w:t>
      </w:r>
      <w:proofErr w:type="gramStart"/>
      <w:r>
        <w:t>. .</w:t>
      </w:r>
      <w:proofErr w:type="gramEnd"/>
      <w:r>
        <w:t xml:space="preserve"> I support the need for enhanced skylark protection as the planning committee look favourably on such mitigation as shown by the examples enclosed.</w:t>
      </w:r>
    </w:p>
    <w:p w14:paraId="3CE11610" w14:textId="77777777" w:rsidR="009F0ADF" w:rsidRDefault="009F0ADF" w:rsidP="009F0ADF">
      <w:r>
        <w:lastRenderedPageBreak/>
        <w:t xml:space="preserve">Enclosed are example of cases where SDDC have actively progressed further protections on applications where skylarks have been adversely affected including: </w:t>
      </w:r>
    </w:p>
    <w:p w14:paraId="22184AEA" w14:textId="77777777" w:rsidR="009F0ADF" w:rsidRDefault="009F0ADF" w:rsidP="009F0ADF">
      <w:r>
        <w:t xml:space="preserve">NSIP Oaklands Farm from DHA Planning </w:t>
      </w:r>
    </w:p>
    <w:p w14:paraId="18FECA74" w14:textId="58BD2306" w:rsidR="009F0ADF" w:rsidRDefault="009F0ADF" w:rsidP="009F0ADF">
      <w:r>
        <w:t>•</w:t>
      </w:r>
      <w:r>
        <w:tab/>
        <w:t xml:space="preserve">Based on the number of breeding pairs in the vicinity of the site </w:t>
      </w:r>
      <w:r w:rsidR="003B4834">
        <w:t xml:space="preserve">- </w:t>
      </w:r>
      <w:r>
        <w:t>38 skylark plots w</w:t>
      </w:r>
      <w:r w:rsidR="003B4834">
        <w:t xml:space="preserve">ere </w:t>
      </w:r>
      <w:r>
        <w:t xml:space="preserve">required as mitigation </w:t>
      </w:r>
    </w:p>
    <w:p w14:paraId="01A976A5" w14:textId="77777777" w:rsidR="009F0ADF" w:rsidRDefault="009F0ADF" w:rsidP="009F0ADF">
      <w:r>
        <w:t>•</w:t>
      </w:r>
      <w:r>
        <w:tab/>
        <w:t xml:space="preserve">Density and size requirements from the government guidance on skylark plots – “there will be a minimum of 2 plots per </w:t>
      </w:r>
      <w:proofErr w:type="gramStart"/>
      <w:r>
        <w:t>ha</w:t>
      </w:r>
      <w:proofErr w:type="gramEnd"/>
      <w:r>
        <w:t xml:space="preserve"> and each plot will be at least 3 metres (m) wide and will have a minimum area of 16 square metres”</w:t>
      </w:r>
    </w:p>
    <w:p w14:paraId="5D395BC0" w14:textId="77777777" w:rsidR="009F0ADF" w:rsidRDefault="009F0ADF" w:rsidP="009F0ADF">
      <w:r>
        <w:t>•</w:t>
      </w:r>
      <w:r>
        <w:tab/>
        <w:t>38 plots at a prescribed density of 2 plots per hectare = 38/2 = 19 hectares of agricultural land required</w:t>
      </w:r>
    </w:p>
    <w:p w14:paraId="7C81BD59" w14:textId="77777777" w:rsidR="009F0ADF" w:rsidRDefault="009F0ADF" w:rsidP="009F0ADF">
      <w:r>
        <w:t>•</w:t>
      </w:r>
      <w:r>
        <w:tab/>
        <w:t>We have signed up 22.5 hectares of agricultural land, so could accommodate the 38 plots identified as being needed (and there is a spare 3.5 hectares of land)</w:t>
      </w:r>
    </w:p>
    <w:p w14:paraId="1849FA84" w14:textId="77777777" w:rsidR="009F0ADF" w:rsidRDefault="009F0ADF" w:rsidP="009F0ADF">
      <w:r>
        <w:t>•</w:t>
      </w:r>
      <w:r>
        <w:tab/>
        <w:t>Per the Unilateral Undertaking Section 106, the LPA will be able to review and approve the Skylark Mitigation Strategy (management plan) prior to implementation of the project</w:t>
      </w:r>
    </w:p>
    <w:p w14:paraId="691C651B" w14:textId="77777777" w:rsidR="009F0ADF" w:rsidRDefault="009F0ADF" w:rsidP="009F0ADF">
      <w:r>
        <w:t xml:space="preserve">As part of development at Land to the North of Occupation Lane Woodville, Swadlincote, Derbyshire, DE11 8FN (DMPA/2022/1159) provided Land to the West of Manchester Road </w:t>
      </w:r>
      <w:proofErr w:type="spellStart"/>
      <w:r>
        <w:t>Hartshome</w:t>
      </w:r>
      <w:proofErr w:type="spellEnd"/>
      <w:r>
        <w:t xml:space="preserve">, Swadlincote, Derbyshire, DE11 7AZ as 0.43ha of grassland as part of the reserved matters application as skylark mitigation. As part of development of the wider site, the planning condition states that “Land in South Derbyshire or within 5km of the site (ideally) needs to be identified and funded to provide a scheme of compensatory habitat for ground nesting birds, including Skylarks”  that "Prior to the commencement of any works on site, evidence and details showing Skylark Mitigation and ongoing management/retention where required has been accepted by Derbyshire Wildlife Trust. The details and mitigation shall be submitted to and approved in by the Local Planning Authority." </w:t>
      </w:r>
    </w:p>
    <w:p w14:paraId="0C15AED4" w14:textId="77777777" w:rsidR="009F0ADF" w:rsidRDefault="009F0ADF" w:rsidP="009F0ADF">
      <w:r>
        <w:t xml:space="preserve">This application provided 30.06 ha for ground nesting birds particularly skylark and reed bunting within North-West Leicestershire situated approximately 8.4km away. This was provided by Callum Foley, Development Manager for Harworth.  </w:t>
      </w:r>
    </w:p>
    <w:p w14:paraId="7A66D941" w14:textId="6422CE7D" w:rsidR="00701C02" w:rsidRDefault="009F0ADF" w:rsidP="009F0ADF">
      <w:r>
        <w:t xml:space="preserve">As part of the application DMPA/2024/0586 for a BESS in Stenson, two breeding skylark territories were identified and SDDC requested mitigation for the small loss of skylark territories effecting overall decline in skylark numbers in the </w:t>
      </w:r>
      <w:proofErr w:type="gramStart"/>
      <w:r>
        <w:t>District</w:t>
      </w:r>
      <w:proofErr w:type="gramEnd"/>
      <w:r>
        <w:t>.</w:t>
      </w:r>
    </w:p>
    <w:p w14:paraId="7D80FFE3" w14:textId="07ED63A0" w:rsidR="004D7743" w:rsidRDefault="004D7743" w:rsidP="009F0ADF">
      <w:r w:rsidRPr="004D7743">
        <w:t>SDDC is working closely with county partners on the forthcoming Local Nature Recovery Strategy (LNRS) for Derbyshire, which will establish spatial priorities for nature recovery.</w:t>
      </w:r>
    </w:p>
    <w:p w14:paraId="50467B76" w14:textId="77777777" w:rsidR="00086D94" w:rsidRDefault="00086D94" w:rsidP="009F0ADF"/>
    <w:p w14:paraId="22A5A1A6" w14:textId="77777777" w:rsidR="00086D94" w:rsidRDefault="00086D94" w:rsidP="009F0ADF"/>
    <w:p w14:paraId="57CA439D" w14:textId="1006C5B5" w:rsidR="00211A58" w:rsidRDefault="00601613" w:rsidP="00540B58">
      <w:pPr>
        <w:pStyle w:val="Heading1"/>
        <w:numPr>
          <w:ilvl w:val="0"/>
          <w:numId w:val="20"/>
        </w:numPr>
      </w:pPr>
      <w:bookmarkStart w:id="11" w:name="_Toc216259242"/>
      <w:r>
        <w:lastRenderedPageBreak/>
        <w:t>How</w:t>
      </w:r>
      <w:r w:rsidR="00AF7455">
        <w:t xml:space="preserve"> SDDC</w:t>
      </w:r>
      <w:r>
        <w:t xml:space="preserve"> </w:t>
      </w:r>
      <w:r w:rsidR="0038272E" w:rsidRPr="0038272E">
        <w:t>policies, objectives and actions have helped the environment</w:t>
      </w:r>
      <w:bookmarkEnd w:id="11"/>
    </w:p>
    <w:p w14:paraId="477E4027" w14:textId="77777777" w:rsidR="00701C02" w:rsidRDefault="00701C02" w:rsidP="00701C02"/>
    <w:p w14:paraId="5D3A731B" w14:textId="2C56D070" w:rsidR="00DB4C50" w:rsidRDefault="00E4765C" w:rsidP="00DB4C50">
      <w:r>
        <w:t>S</w:t>
      </w:r>
      <w:r w:rsidR="00DB4C50">
        <w:t>outh Derbyshire District Council (SDDC) has introduced several environmental policies and initiatives to protect nature, reduce pollution, and promote sustainability. These actions mainly focus on reducing carbon emissions, protecting biodiversity, improving waste management, and planning sustainable development.</w:t>
      </w:r>
    </w:p>
    <w:p w14:paraId="00D00929" w14:textId="77777777" w:rsidR="00DB4C50" w:rsidRDefault="00DB4C50" w:rsidP="00DB4C50">
      <w:r>
        <w:t xml:space="preserve">In 2019 the council declared a climate emergency and committed to becoming carbon neutral for council activities by 2030 and helping the wider district reach carbon neutrality before the UK’s 2050 target. </w:t>
      </w:r>
    </w:p>
    <w:p w14:paraId="56B58659" w14:textId="2A11296D" w:rsidR="00DB4C50" w:rsidRDefault="00DB4C50" w:rsidP="00DB4C50">
      <w:r>
        <w:t>To support this, the council created a Climate and Environment Action Plan (2021–2030) with 62 actions aimed at reducing carbon emissions and adapting to climate change. These include policies on</w:t>
      </w:r>
      <w:r w:rsidR="005D27D9">
        <w:t xml:space="preserve"> e</w:t>
      </w:r>
      <w:r>
        <w:t>nergy efficiency in buildings</w:t>
      </w:r>
      <w:r w:rsidR="005D27D9">
        <w:t xml:space="preserve">, </w:t>
      </w:r>
      <w:r>
        <w:t>Sustainable transport</w:t>
      </w:r>
      <w:r w:rsidR="005D27D9">
        <w:t>, w</w:t>
      </w:r>
      <w:r>
        <w:t>aste and recycling</w:t>
      </w:r>
      <w:r w:rsidR="005D27D9">
        <w:t>, b</w:t>
      </w:r>
      <w:r>
        <w:t>iodiversity protection</w:t>
      </w:r>
      <w:r w:rsidR="005D27D9">
        <w:t xml:space="preserve"> and c</w:t>
      </w:r>
      <w:r>
        <w:t>limate adaptation and planning policies</w:t>
      </w:r>
      <w:r w:rsidR="005D27D9">
        <w:t>.</w:t>
      </w:r>
    </w:p>
    <w:p w14:paraId="34AD3BFD" w14:textId="19DC4D46" w:rsidR="00DB4C50" w:rsidRDefault="005D27D9" w:rsidP="00DB4C50">
      <w:r>
        <w:t>T</w:t>
      </w:r>
      <w:r w:rsidR="00DB4C50">
        <w:t xml:space="preserve">he plan sets measurable targets and is reviewed annually to track progress. </w:t>
      </w:r>
      <w:r w:rsidR="00967F08">
        <w:t>C</w:t>
      </w:r>
      <w:r w:rsidR="00DB4C50">
        <w:t>ouncil emissions f</w:t>
      </w:r>
      <w:r w:rsidR="00290FDE">
        <w:t>e</w:t>
      </w:r>
      <w:r w:rsidR="00DB4C50">
        <w:t>l</w:t>
      </w:r>
      <w:r w:rsidR="00715C8C">
        <w:t>l</w:t>
      </w:r>
      <w:r w:rsidR="00DB4C50">
        <w:t xml:space="preserve"> by about 22% from the 2018/19 baseline</w:t>
      </w:r>
      <w:r w:rsidR="001C65A6">
        <w:t xml:space="preserve">, with the </w:t>
      </w:r>
      <w:proofErr w:type="spellStart"/>
      <w:r w:rsidR="001C65A6">
        <w:t>cavet</w:t>
      </w:r>
      <w:proofErr w:type="spellEnd"/>
      <w:r w:rsidR="001C65A6">
        <w:t xml:space="preserve"> of the COVID </w:t>
      </w:r>
      <w:r w:rsidR="00C70B4A">
        <w:t xml:space="preserve">-19. </w:t>
      </w:r>
      <w:r w:rsidR="00DB4C50">
        <w:t xml:space="preserve"> </w:t>
      </w:r>
    </w:p>
    <w:p w14:paraId="7D383CF7" w14:textId="77777777" w:rsidR="00DB4C50" w:rsidRDefault="00DB4C50" w:rsidP="00DB4C50">
      <w:r>
        <w:t>The council promotes policies that protect wildlife and natural habitats.</w:t>
      </w:r>
    </w:p>
    <w:p w14:paraId="57BD2085" w14:textId="1AFB4D56" w:rsidR="00DB4C50" w:rsidRDefault="00DB4C50" w:rsidP="00DB4C50">
      <w:r>
        <w:t xml:space="preserve">One key policy is Biodiversity Net Gain (BNG), which requires new developments to improve biodiversity by at least 10% compared with the site’s original ecological value. This means developers </w:t>
      </w:r>
      <w:r w:rsidR="009F567F">
        <w:t>must: create</w:t>
      </w:r>
      <w:r>
        <w:t xml:space="preserve"> new habitats (trees, ponds, grasslands)</w:t>
      </w:r>
      <w:r w:rsidR="00170D72">
        <w:t xml:space="preserve">, </w:t>
      </w:r>
      <w:r>
        <w:t>restore damaged ecosystems</w:t>
      </w:r>
      <w:r w:rsidR="00CA5E57">
        <w:t xml:space="preserve"> and </w:t>
      </w:r>
      <w:r>
        <w:t>protect local wildlife</w:t>
      </w:r>
      <w:r w:rsidR="003234AA">
        <w:t xml:space="preserve">. </w:t>
      </w:r>
      <w:r>
        <w:t>These policies help increase biodiversity rather than allowing development to simply damage it.</w:t>
      </w:r>
    </w:p>
    <w:p w14:paraId="3B7012DD" w14:textId="5C6E023F" w:rsidR="00DB4C50" w:rsidRDefault="00DB4C50" w:rsidP="00DB4C50">
      <w:r>
        <w:t>Environmental protection is built into the Local Plan, which guides how land is developed.</w:t>
      </w:r>
      <w:r w:rsidR="009E6AD0">
        <w:t xml:space="preserve"> </w:t>
      </w:r>
      <w:r>
        <w:t>Policies promote</w:t>
      </w:r>
      <w:r w:rsidR="009E6AD0">
        <w:t xml:space="preserve"> </w:t>
      </w:r>
      <w:r>
        <w:t>renewable energy generation</w:t>
      </w:r>
      <w:r w:rsidR="009E6AD0">
        <w:t xml:space="preserve">, </w:t>
      </w:r>
      <w:r>
        <w:t>high-quality sustainable design</w:t>
      </w:r>
      <w:r w:rsidR="009E6AD0">
        <w:t xml:space="preserve">, </w:t>
      </w:r>
      <w:r>
        <w:t>protection of landscapes and biodiversity</w:t>
      </w:r>
      <w:r w:rsidR="003234AA">
        <w:t xml:space="preserve">, </w:t>
      </w:r>
      <w:r>
        <w:t xml:space="preserve">creation of green infrastructure such as trees, gardens, and green corridors in new developments. </w:t>
      </w:r>
    </w:p>
    <w:p w14:paraId="0B1354D5" w14:textId="648F4FFA" w:rsidR="00DB4C50" w:rsidRDefault="00DB4C50" w:rsidP="00DB4C50">
      <w:r>
        <w:t>The council runs programmes to reduce waste and encourage recycling</w:t>
      </w:r>
      <w:r w:rsidR="003234AA">
        <w:t xml:space="preserve"> including </w:t>
      </w:r>
      <w:r>
        <w:t>campaigns to improve recycling and reduce contamination</w:t>
      </w:r>
      <w:r w:rsidR="003234AA">
        <w:t xml:space="preserve">, </w:t>
      </w:r>
      <w:r>
        <w:t>encouraging residents to compost food waste</w:t>
      </w:r>
      <w:r w:rsidR="003234AA">
        <w:t xml:space="preserve"> and </w:t>
      </w:r>
      <w:r>
        <w:t>reducing single-use plastics in council buildings and events. These initiatives help reduce landfill waste and lower environmental pollution.</w:t>
      </w:r>
    </w:p>
    <w:p w14:paraId="7408D75B" w14:textId="69096259" w:rsidR="00DB4C50" w:rsidRDefault="00DB4C50" w:rsidP="00DB4C50">
      <w:r>
        <w:t>SDDC also involves residents in environmental action through campaigns such as Keep South Derbyshire Tidy, which encourages community litter-picking and environmental volunteering. This improves</w:t>
      </w:r>
      <w:r w:rsidR="00EB0C49">
        <w:t xml:space="preserve"> </w:t>
      </w:r>
      <w:r>
        <w:t>local green spaces</w:t>
      </w:r>
      <w:r w:rsidR="00EB0C49">
        <w:t xml:space="preserve">, </w:t>
      </w:r>
      <w:r>
        <w:t>wildlife habitats</w:t>
      </w:r>
      <w:r w:rsidR="00EB0C49">
        <w:t xml:space="preserve"> and </w:t>
      </w:r>
      <w:r>
        <w:t>public awareness of environmental protection.</w:t>
      </w:r>
    </w:p>
    <w:p w14:paraId="37AC1B87" w14:textId="77777777" w:rsidR="00DB4C50" w:rsidRDefault="00DB4C50" w:rsidP="00DB4C50">
      <w:r>
        <w:t>South Derbyshire District Council’s policies help the environment by reducing carbon emissions, protecting biodiversity, encouraging sustainable development, improving recycling, and involving local communities in environmental action.</w:t>
      </w:r>
    </w:p>
    <w:p w14:paraId="32C033F6" w14:textId="77777777" w:rsidR="00701C02" w:rsidRDefault="00701C02" w:rsidP="00701C02"/>
    <w:p w14:paraId="2296CB5C" w14:textId="77777777" w:rsidR="00701C02" w:rsidRDefault="00701C02" w:rsidP="00701C02"/>
    <w:p w14:paraId="16D9B4EF" w14:textId="4A119609" w:rsidR="001C6DD3" w:rsidRDefault="001C6DD3" w:rsidP="00540B58">
      <w:pPr>
        <w:pStyle w:val="Heading1"/>
        <w:numPr>
          <w:ilvl w:val="0"/>
          <w:numId w:val="20"/>
        </w:numPr>
      </w:pPr>
      <w:bookmarkStart w:id="12" w:name="_Toc216259243"/>
      <w:r>
        <w:lastRenderedPageBreak/>
        <w:t>Biodiversity</w:t>
      </w:r>
      <w:r w:rsidR="00976F56">
        <w:t xml:space="preserve"> Awareness &amp; </w:t>
      </w:r>
      <w:r w:rsidR="00464D1A">
        <w:t>E</w:t>
      </w:r>
      <w:r w:rsidR="00976F56">
        <w:t>ducation</w:t>
      </w:r>
      <w:bookmarkEnd w:id="12"/>
    </w:p>
    <w:p w14:paraId="0A50FF74" w14:textId="77777777" w:rsidR="00701C02" w:rsidRDefault="00701C02" w:rsidP="00701C02"/>
    <w:p w14:paraId="02F8C4E1" w14:textId="77777777" w:rsidR="000F1829" w:rsidRDefault="000F1829" w:rsidP="007253F6">
      <w:pPr>
        <w:spacing w:after="0" w:line="240" w:lineRule="auto"/>
      </w:pPr>
      <w:r w:rsidRPr="000F1829">
        <w:t>SDDC runs a broad and active Environmental Volunteering Programme, contributing to nature recovery and community participation:</w:t>
      </w:r>
    </w:p>
    <w:p w14:paraId="1B029DBD" w14:textId="77777777" w:rsidR="007253F6" w:rsidRPr="000F1829" w:rsidRDefault="007253F6" w:rsidP="007253F6">
      <w:pPr>
        <w:spacing w:after="0" w:line="240" w:lineRule="auto"/>
      </w:pPr>
    </w:p>
    <w:p w14:paraId="1AE7DAFE" w14:textId="77777777" w:rsidR="000F1829" w:rsidRPr="000F1829" w:rsidRDefault="000F1829" w:rsidP="000F1829">
      <w:pPr>
        <w:pStyle w:val="ListParagraph"/>
        <w:numPr>
          <w:ilvl w:val="0"/>
          <w:numId w:val="29"/>
        </w:numPr>
      </w:pPr>
      <w:r w:rsidRPr="000F1829">
        <w:t>School-led tree planting events on local parks.</w:t>
      </w:r>
    </w:p>
    <w:p w14:paraId="4BC8F30D" w14:textId="77777777" w:rsidR="000F1829" w:rsidRPr="000F1829" w:rsidRDefault="000F1829" w:rsidP="000F1829">
      <w:pPr>
        <w:pStyle w:val="ListParagraph"/>
        <w:numPr>
          <w:ilvl w:val="0"/>
          <w:numId w:val="29"/>
        </w:numPr>
      </w:pPr>
      <w:r w:rsidRPr="000F1829">
        <w:t>Community wood fuel and thinning activities at Swadlincote Woodlands with Heartwood.</w:t>
      </w:r>
    </w:p>
    <w:p w14:paraId="77211D13" w14:textId="77777777" w:rsidR="000F1829" w:rsidRPr="000F1829" w:rsidRDefault="000F1829" w:rsidP="000F1829">
      <w:pPr>
        <w:pStyle w:val="ListParagraph"/>
        <w:numPr>
          <w:ilvl w:val="0"/>
          <w:numId w:val="29"/>
        </w:numPr>
      </w:pPr>
      <w:r w:rsidRPr="000F1829">
        <w:t>Habitat management volunteer days at Coton Park LNR with Burton Conservation Volunteers.</w:t>
      </w:r>
    </w:p>
    <w:p w14:paraId="4C655C8F" w14:textId="77777777" w:rsidR="000F1829" w:rsidRPr="000F1829" w:rsidRDefault="000F1829" w:rsidP="000F1829">
      <w:pPr>
        <w:pStyle w:val="ListParagraph"/>
        <w:numPr>
          <w:ilvl w:val="0"/>
          <w:numId w:val="29"/>
        </w:numPr>
      </w:pPr>
      <w:r w:rsidRPr="000F1829">
        <w:t>Monthly conservation task days at Swadlincote Woodlands with TCV.</w:t>
      </w:r>
    </w:p>
    <w:p w14:paraId="679CC120" w14:textId="77777777" w:rsidR="000F1829" w:rsidRPr="000F1829" w:rsidRDefault="000F1829" w:rsidP="000F1829">
      <w:pPr>
        <w:pStyle w:val="ListParagraph"/>
        <w:numPr>
          <w:ilvl w:val="0"/>
          <w:numId w:val="29"/>
        </w:numPr>
      </w:pPr>
      <w:r w:rsidRPr="000F1829">
        <w:t>Weekly butterfly surveys at Swadlincote Woodlands and Coton Park, with butterfly identification training for volunteers.</w:t>
      </w:r>
    </w:p>
    <w:p w14:paraId="03A9C70A" w14:textId="77777777" w:rsidR="000F1829" w:rsidRPr="000F1829" w:rsidRDefault="000F1829" w:rsidP="000F1829">
      <w:pPr>
        <w:pStyle w:val="ListParagraph"/>
        <w:numPr>
          <w:ilvl w:val="0"/>
          <w:numId w:val="29"/>
        </w:numPr>
      </w:pPr>
      <w:r w:rsidRPr="000F1829">
        <w:t>The Parklife Project now delivers monthly gardening groups at Eureka Park and Newhall Park.</w:t>
      </w:r>
    </w:p>
    <w:p w14:paraId="23457904" w14:textId="77777777" w:rsidR="000F1829" w:rsidRPr="000F1829" w:rsidRDefault="000F1829" w:rsidP="000F1829">
      <w:pPr>
        <w:pStyle w:val="ListParagraph"/>
        <w:numPr>
          <w:ilvl w:val="0"/>
          <w:numId w:val="29"/>
        </w:numPr>
      </w:pPr>
      <w:r w:rsidRPr="000F1829">
        <w:t>Additional community nature activities include guided butterfly, dragonfly and fungi walks, and an amphibian and reptile habitat improvement survey at Swadlincote Woodlands.</w:t>
      </w:r>
    </w:p>
    <w:p w14:paraId="3B4052A3" w14:textId="77777777" w:rsidR="000F1829" w:rsidRPr="00FF5005" w:rsidRDefault="000F1829" w:rsidP="000F1829">
      <w:pPr>
        <w:spacing w:after="0" w:line="240" w:lineRule="auto"/>
      </w:pPr>
    </w:p>
    <w:p w14:paraId="0D023C88" w14:textId="1AA31B32" w:rsidR="00701C02" w:rsidRDefault="000820B2" w:rsidP="00FF5005">
      <w:pPr>
        <w:spacing w:after="0" w:line="240" w:lineRule="auto"/>
      </w:pPr>
      <w:r w:rsidRPr="000820B2">
        <w:t>In August 2025 a family Butterfly Walk took place in Big Butterfly Count week at Cadley Park, Swadlincote. This event consisted of a led walk by local Butterfly Volunteer, Peter Brewster.    There around 40 attendees to the event and children were given a spotter sheet to see if they could find some of the common butterflies on their walk.</w:t>
      </w:r>
      <w:r w:rsidR="00C860A5">
        <w:t xml:space="preserve"> </w:t>
      </w:r>
      <w:r w:rsidRPr="000820B2">
        <w:t>At the end of the walk children made coloured in butterflies to take home.</w:t>
      </w:r>
    </w:p>
    <w:p w14:paraId="01C4BDEE" w14:textId="216AC4D6" w:rsidR="00701C02" w:rsidRDefault="00EF45BF" w:rsidP="00FF5005">
      <w:pPr>
        <w:spacing w:after="0" w:line="240" w:lineRule="auto"/>
      </w:pPr>
      <w:r w:rsidRPr="00EF45BF">
        <w:t>A Bat Walk was also held at Swadlincote Woodlands in August 2025 and there were many sightings of Pipistrelle, Soprano and Noctule Bats.</w:t>
      </w:r>
    </w:p>
    <w:p w14:paraId="50836BFF" w14:textId="77777777" w:rsidR="00701C02" w:rsidRDefault="00701C02" w:rsidP="00701C02"/>
    <w:p w14:paraId="267B877D" w14:textId="77777777" w:rsidR="00701C02" w:rsidRDefault="00701C02" w:rsidP="00701C02"/>
    <w:p w14:paraId="33B96F1B" w14:textId="77777777" w:rsidR="009E3A16" w:rsidRDefault="009E3A16" w:rsidP="00701C02"/>
    <w:p w14:paraId="47816216" w14:textId="77777777" w:rsidR="009E3A16" w:rsidRDefault="009E3A16" w:rsidP="00701C02"/>
    <w:p w14:paraId="1FFC0316" w14:textId="77777777" w:rsidR="009E3A16" w:rsidRDefault="009E3A16" w:rsidP="00701C02"/>
    <w:p w14:paraId="3770902E" w14:textId="77777777" w:rsidR="009E3A16" w:rsidRDefault="009E3A16" w:rsidP="00701C02"/>
    <w:p w14:paraId="719A843C" w14:textId="77777777" w:rsidR="009E3A16" w:rsidRDefault="009E3A16" w:rsidP="00701C02"/>
    <w:p w14:paraId="783BB378" w14:textId="77777777" w:rsidR="009E3A16" w:rsidRDefault="009E3A16" w:rsidP="00701C02"/>
    <w:p w14:paraId="11A76C9F" w14:textId="77777777" w:rsidR="009E3A16" w:rsidRDefault="009E3A16" w:rsidP="00701C02"/>
    <w:p w14:paraId="476413C9" w14:textId="77777777" w:rsidR="00701C02" w:rsidRDefault="00701C02" w:rsidP="00701C02"/>
    <w:p w14:paraId="23D2B8BD" w14:textId="77777777" w:rsidR="00007493" w:rsidRDefault="00007493" w:rsidP="00701C02"/>
    <w:p w14:paraId="5E0B7D2C" w14:textId="77777777" w:rsidR="002A6F14" w:rsidRDefault="002A6F14" w:rsidP="00701C02"/>
    <w:p w14:paraId="08575EE7" w14:textId="0A28D5D2" w:rsidR="00464D1A" w:rsidRDefault="00464D1A" w:rsidP="00540B58">
      <w:pPr>
        <w:pStyle w:val="Heading1"/>
        <w:numPr>
          <w:ilvl w:val="0"/>
          <w:numId w:val="20"/>
        </w:numPr>
      </w:pPr>
      <w:bookmarkStart w:id="13" w:name="_Toc216259244"/>
      <w:r>
        <w:lastRenderedPageBreak/>
        <w:t>Monitoring &amp; Evaluation</w:t>
      </w:r>
      <w:bookmarkEnd w:id="13"/>
    </w:p>
    <w:p w14:paraId="4143E5BA" w14:textId="77777777" w:rsidR="00CE4BD2" w:rsidRDefault="00CE4BD2" w:rsidP="00CE4BD2"/>
    <w:p w14:paraId="1634EE88" w14:textId="7CC21A05" w:rsidR="00ED1487" w:rsidRDefault="00ED1487" w:rsidP="00ED1487">
      <w:pPr>
        <w:pStyle w:val="Heading2"/>
      </w:pPr>
      <w:r>
        <w:t xml:space="preserve">Local Wildlife Sites </w:t>
      </w:r>
    </w:p>
    <w:p w14:paraId="54F667E4" w14:textId="379BA98E" w:rsidR="00A61248" w:rsidRDefault="00A61248" w:rsidP="00FF5005">
      <w:pPr>
        <w:spacing w:after="0" w:line="240" w:lineRule="auto"/>
      </w:pPr>
      <w:r>
        <w:t>In 2025-26</w:t>
      </w:r>
      <w:r w:rsidR="002D3E4E">
        <w:t>, DWT</w:t>
      </w:r>
      <w:r w:rsidR="00CD056C">
        <w:t xml:space="preserve"> on behalf of South Derbyshire District Council </w:t>
      </w:r>
      <w:r>
        <w:t>completed 10 site surveys prior to the pause in the SLA in July, where</w:t>
      </w:r>
      <w:r w:rsidR="00860D76">
        <w:t xml:space="preserve"> they </w:t>
      </w:r>
      <w:r>
        <w:t>would have completed 14 total otherwise. The 10 sites that w</w:t>
      </w:r>
      <w:r w:rsidR="008352F1">
        <w:t>er</w:t>
      </w:r>
      <w:r>
        <w:t xml:space="preserve">e covered included: </w:t>
      </w:r>
    </w:p>
    <w:p w14:paraId="1A976B9A" w14:textId="77777777" w:rsidR="00FF5005" w:rsidRDefault="00FF5005" w:rsidP="00FF5005">
      <w:pPr>
        <w:spacing w:after="0" w:line="240" w:lineRule="auto"/>
      </w:pPr>
    </w:p>
    <w:p w14:paraId="0BFC7225" w14:textId="77777777" w:rsidR="00A61248" w:rsidRDefault="00A61248" w:rsidP="00514473">
      <w:pPr>
        <w:spacing w:after="0" w:line="240" w:lineRule="auto"/>
        <w:ind w:left="426" w:hanging="426"/>
      </w:pPr>
      <w:r>
        <w:t>•</w:t>
      </w:r>
      <w:r>
        <w:tab/>
        <w:t xml:space="preserve">Five LWS, four of which were considered to be in positive management. Two were considered to be in favourable condition, one was partially destroyed, one unfavourable but improving condition, and one that was not possible to re-assess due to grassland maintenance at the time of the visit. </w:t>
      </w:r>
    </w:p>
    <w:p w14:paraId="49D28903" w14:textId="77777777" w:rsidR="00FF5005" w:rsidRDefault="00FF5005" w:rsidP="00FF5005">
      <w:pPr>
        <w:spacing w:after="0" w:line="240" w:lineRule="auto"/>
      </w:pPr>
    </w:p>
    <w:p w14:paraId="6EB3A086" w14:textId="77777777" w:rsidR="00A61248" w:rsidRDefault="00A61248" w:rsidP="00514473">
      <w:pPr>
        <w:spacing w:after="0" w:line="240" w:lineRule="auto"/>
        <w:ind w:left="426" w:hanging="426"/>
      </w:pPr>
      <w:r>
        <w:t>•</w:t>
      </w:r>
      <w:r>
        <w:tab/>
        <w:t>Five Potential LWS were surveyed. Two of these are recommended for review at the 2026 Panel meeting for designation: Midland Lead, as a site with valuable Open Mosaic Habitats and structural mosaic of woodland, scrub, rough grassland, OMH and ponds; and Land off Penkridge Road in Swadlincote.</w:t>
      </w:r>
    </w:p>
    <w:p w14:paraId="7C221F86" w14:textId="77777777" w:rsidR="00A61248" w:rsidRDefault="00A61248" w:rsidP="00A61248"/>
    <w:p w14:paraId="442058C8" w14:textId="77777777" w:rsidR="00A61248" w:rsidRDefault="00A61248" w:rsidP="00A61248">
      <w:r>
        <w:t>The overall picture of the 161 LWS in South Derbyshire in 2025 shows:</w:t>
      </w:r>
    </w:p>
    <w:p w14:paraId="27FAC94C" w14:textId="77777777" w:rsidR="00A61248" w:rsidRDefault="00A61248" w:rsidP="00A61248">
      <w:r>
        <w:t>•</w:t>
      </w:r>
      <w:r>
        <w:tab/>
        <w:t>60 LWS under positive management</w:t>
      </w:r>
    </w:p>
    <w:p w14:paraId="5B093DE0" w14:textId="77777777" w:rsidR="00A61248" w:rsidRDefault="00A61248" w:rsidP="00A61248">
      <w:r>
        <w:t>•</w:t>
      </w:r>
      <w:r>
        <w:tab/>
        <w:t>32 LWS in favourable condition</w:t>
      </w:r>
    </w:p>
    <w:p w14:paraId="0C97AF57" w14:textId="77777777" w:rsidR="00A61248" w:rsidRDefault="00A61248" w:rsidP="00A61248">
      <w:r>
        <w:t>•</w:t>
      </w:r>
      <w:r>
        <w:tab/>
        <w:t>43 LWS in unfavourable-maintained condition</w:t>
      </w:r>
    </w:p>
    <w:p w14:paraId="322E64D6" w14:textId="77777777" w:rsidR="00A61248" w:rsidRDefault="00A61248" w:rsidP="00A61248">
      <w:r>
        <w:t>•</w:t>
      </w:r>
      <w:r>
        <w:tab/>
        <w:t>14 LWS in unfavourable-recovering condition</w:t>
      </w:r>
    </w:p>
    <w:p w14:paraId="38DF437A" w14:textId="77777777" w:rsidR="00A61248" w:rsidRDefault="00A61248" w:rsidP="00A61248">
      <w:r>
        <w:t>•</w:t>
      </w:r>
      <w:r>
        <w:tab/>
        <w:t>42 LWS in unfavourable-declining condition</w:t>
      </w:r>
    </w:p>
    <w:p w14:paraId="05CFC3B6" w14:textId="682C8213" w:rsidR="00CE4BD2" w:rsidRDefault="00A61248" w:rsidP="00A61248">
      <w:r>
        <w:t>•</w:t>
      </w:r>
      <w:r>
        <w:tab/>
        <w:t>30 sites with unknown condition</w:t>
      </w:r>
    </w:p>
    <w:p w14:paraId="638E8BB8" w14:textId="77777777" w:rsidR="00CE4BD2" w:rsidRDefault="00CE4BD2" w:rsidP="00CE4BD2"/>
    <w:p w14:paraId="261AD1CA" w14:textId="69DCABAF" w:rsidR="00CE4BD2" w:rsidRDefault="00FC6431" w:rsidP="00B43C65">
      <w:pPr>
        <w:pStyle w:val="Heading2"/>
      </w:pPr>
      <w:r w:rsidRPr="00FC6431">
        <w:t>Derbyshire Amphibian and Reptile Group</w:t>
      </w:r>
    </w:p>
    <w:p w14:paraId="5CA83DF9" w14:textId="429075BA" w:rsidR="00A71BC1" w:rsidRDefault="002C7591" w:rsidP="00A71BC1">
      <w:pPr>
        <w:spacing w:after="0" w:line="240" w:lineRule="auto"/>
      </w:pPr>
      <w:r w:rsidRPr="002C7591">
        <w:t xml:space="preserve">Derbyshire Amphibian and Reptile Group carried </w:t>
      </w:r>
      <w:r w:rsidR="00A71BC1">
        <w:t xml:space="preserve">out four amphibian surveys at </w:t>
      </w:r>
    </w:p>
    <w:p w14:paraId="3D5E72C4" w14:textId="77777777" w:rsidR="00A71BC1" w:rsidRDefault="00A71BC1" w:rsidP="00A71BC1">
      <w:pPr>
        <w:spacing w:after="0" w:line="240" w:lineRule="auto"/>
      </w:pPr>
      <w:r>
        <w:t xml:space="preserve">Swadlincote Woodlands in the spring of 2025. The first two surveys were conducted </w:t>
      </w:r>
    </w:p>
    <w:p w14:paraId="6B65A5F6" w14:textId="77777777" w:rsidR="00A71BC1" w:rsidRDefault="00A71BC1" w:rsidP="00A71BC1">
      <w:pPr>
        <w:spacing w:after="0" w:line="240" w:lineRule="auto"/>
      </w:pPr>
      <w:r>
        <w:t xml:space="preserve">in daylight to try to establish where frogs and toads may be spawning. The first on </w:t>
      </w:r>
    </w:p>
    <w:p w14:paraId="359CC9A0" w14:textId="77777777" w:rsidR="00A71BC1" w:rsidRDefault="00A71BC1" w:rsidP="00A71BC1">
      <w:pPr>
        <w:spacing w:after="0" w:line="240" w:lineRule="auto"/>
      </w:pPr>
      <w:r>
        <w:t xml:space="preserve">09/03/25, and the next one at three weeks later. The second two surveys were a </w:t>
      </w:r>
    </w:p>
    <w:p w14:paraId="0ACD080B" w14:textId="37BD896E" w:rsidR="00B43C65" w:rsidRDefault="00A71BC1" w:rsidP="00A71BC1">
      <w:pPr>
        <w:spacing w:after="0" w:line="240" w:lineRule="auto"/>
      </w:pPr>
      <w:r>
        <w:t>bottle trapping survey, and a torchlight survey, looking for newts. R</w:t>
      </w:r>
      <w:r w:rsidR="002C7591" w:rsidRPr="002C7591">
        <w:t xml:space="preserve">ecommendations for conservation tasks to the pond areas including removal of reed mace, silt and also removal of some surrounding trees. Some of the works have been carried out </w:t>
      </w:r>
      <w:proofErr w:type="spellStart"/>
      <w:r w:rsidR="002C7591" w:rsidRPr="002C7591">
        <w:t>eg</w:t>
      </w:r>
      <w:proofErr w:type="spellEnd"/>
      <w:r w:rsidR="002C7591" w:rsidRPr="002C7591">
        <w:t xml:space="preserve"> removal of reed mace by TCV Volunteers. Derbyshire Amphibian Group will be carrying out a survey of ponds at Coton Park Nature Reserve in 2026.</w:t>
      </w:r>
      <w:r w:rsidRPr="00A71BC1">
        <w:t xml:space="preserve"> </w:t>
      </w:r>
    </w:p>
    <w:p w14:paraId="64545AC5" w14:textId="387BE0AF" w:rsidR="00B43C65" w:rsidRDefault="00B43C65" w:rsidP="00B43C65">
      <w:pPr>
        <w:pStyle w:val="Heading2"/>
      </w:pPr>
      <w:proofErr w:type="spellStart"/>
      <w:r>
        <w:t>Pessall</w:t>
      </w:r>
      <w:proofErr w:type="spellEnd"/>
      <w:r>
        <w:t xml:space="preserve"> Brook – Coton in the Elms</w:t>
      </w:r>
    </w:p>
    <w:p w14:paraId="06D80751" w14:textId="492EF325" w:rsidR="00955ACE" w:rsidRDefault="00B43C65" w:rsidP="00FF5005">
      <w:pPr>
        <w:spacing w:after="0" w:line="240" w:lineRule="auto"/>
      </w:pPr>
      <w:r w:rsidRPr="00B43C65">
        <w:t xml:space="preserve">Working with Trent Rivers Trust and Coton Parish Council to deliver biodiversity improvements along the </w:t>
      </w:r>
      <w:proofErr w:type="spellStart"/>
      <w:r w:rsidRPr="00B43C65">
        <w:t>Pessall</w:t>
      </w:r>
      <w:proofErr w:type="spellEnd"/>
      <w:r w:rsidRPr="00B43C65">
        <w:t xml:space="preserve"> Brook in Coton-in-the-Elms.</w:t>
      </w:r>
    </w:p>
    <w:p w14:paraId="2564A7D4" w14:textId="77777777" w:rsidR="00955ACE" w:rsidRDefault="00955ACE" w:rsidP="00955ACE">
      <w:pPr>
        <w:spacing w:after="0" w:line="240" w:lineRule="auto"/>
      </w:pPr>
      <w:r>
        <w:t xml:space="preserve">In 2024 and 2025 terrestrial invertebrate surveys were conducted along the banks of the </w:t>
      </w:r>
      <w:proofErr w:type="spellStart"/>
      <w:r>
        <w:t>Pessall</w:t>
      </w:r>
      <w:proofErr w:type="spellEnd"/>
      <w:r>
        <w:t xml:space="preserve"> </w:t>
      </w:r>
    </w:p>
    <w:p w14:paraId="218727B1" w14:textId="77777777" w:rsidR="00955ACE" w:rsidRDefault="00955ACE" w:rsidP="00955ACE">
      <w:pPr>
        <w:spacing w:after="0" w:line="240" w:lineRule="auto"/>
      </w:pPr>
      <w:r>
        <w:t xml:space="preserve">Brook in Coton-in-the-Elms. The survey aim was to collect data that recorded some of the </w:t>
      </w:r>
    </w:p>
    <w:p w14:paraId="590A6334" w14:textId="77777777" w:rsidR="00955ACE" w:rsidRDefault="00955ACE" w:rsidP="00955ACE">
      <w:pPr>
        <w:spacing w:after="0" w:line="240" w:lineRule="auto"/>
      </w:pPr>
      <w:r>
        <w:t xml:space="preserve">invertebrates living in the grassland habitat surrounding the </w:t>
      </w:r>
      <w:proofErr w:type="spellStart"/>
      <w:r>
        <w:t>Pessall</w:t>
      </w:r>
      <w:proofErr w:type="spellEnd"/>
      <w:r>
        <w:t xml:space="preserve"> Brook, where TRT have </w:t>
      </w:r>
    </w:p>
    <w:p w14:paraId="7E8C9AAD" w14:textId="77777777" w:rsidR="00955ACE" w:rsidRDefault="00955ACE" w:rsidP="00955ACE">
      <w:pPr>
        <w:spacing w:after="0" w:line="240" w:lineRule="auto"/>
      </w:pPr>
      <w:r>
        <w:t xml:space="preserve">undertaken some restoration work. This is separate to the invertebrate survey being undertaken by </w:t>
      </w:r>
    </w:p>
    <w:p w14:paraId="7316E86A" w14:textId="77777777" w:rsidR="00955ACE" w:rsidRDefault="00955ACE" w:rsidP="00955ACE">
      <w:pPr>
        <w:spacing w:after="0" w:line="240" w:lineRule="auto"/>
      </w:pPr>
      <w:r>
        <w:lastRenderedPageBreak/>
        <w:t>EMEC in the water of the brook.</w:t>
      </w:r>
      <w:r w:rsidRPr="00473AD3">
        <w:t xml:space="preserve"> The number of invertebrate species recorded in 2024 was 26 compared to 61 in 2025</w:t>
      </w:r>
    </w:p>
    <w:p w14:paraId="06856B47" w14:textId="354AADF6" w:rsidR="00CE4BD2" w:rsidRDefault="007E7CD4" w:rsidP="007E7CD4">
      <w:pPr>
        <w:pStyle w:val="Heading2"/>
      </w:pPr>
      <w:r>
        <w:t>Castle Hill Wood Scoping and Managing Assessment</w:t>
      </w:r>
    </w:p>
    <w:p w14:paraId="4C45749A" w14:textId="1647360A" w:rsidR="00551178" w:rsidRDefault="00551178" w:rsidP="00B826F7">
      <w:pPr>
        <w:spacing w:after="0" w:line="240" w:lineRule="auto"/>
      </w:pPr>
      <w:r>
        <w:t xml:space="preserve">The objectives of this project were agreed by South Derbyshire District Council and The Trent Rivers Trust </w:t>
      </w:r>
      <w:r w:rsidR="00715660">
        <w:t>to</w:t>
      </w:r>
      <w:r>
        <w:t xml:space="preserve">: </w:t>
      </w:r>
    </w:p>
    <w:p w14:paraId="6E7FBD31" w14:textId="77777777" w:rsidR="000247E7" w:rsidRDefault="000247E7" w:rsidP="00B826F7">
      <w:pPr>
        <w:spacing w:after="0" w:line="240" w:lineRule="auto"/>
      </w:pPr>
    </w:p>
    <w:p w14:paraId="7FC35282" w14:textId="03D8907D" w:rsidR="00551178" w:rsidRDefault="00551178" w:rsidP="009C6C15">
      <w:pPr>
        <w:spacing w:after="0" w:line="240" w:lineRule="auto"/>
        <w:ind w:left="567" w:hanging="567"/>
      </w:pPr>
      <w:r>
        <w:sym w:font="Symbol" w:char="F0B7"/>
      </w:r>
      <w:r w:rsidR="000503A2">
        <w:t xml:space="preserve">       </w:t>
      </w:r>
      <w:r>
        <w:t xml:space="preserve">Analyse water quality of the site by sampling water at 6 sample locations for the following parameters: o pH, turbidity, nitrate and phosphate o Heavy metals: Lead, Cadmium, Copper o Polycyclic aromatic hydrocarbons (PAHs), o Petroleum hydrocarbons o Volatile organic compounds (VOCs), o Per- and polyfluoroalkyl substances (PFAS). </w:t>
      </w:r>
    </w:p>
    <w:p w14:paraId="7BB22BE1" w14:textId="60CB3095" w:rsidR="00551178" w:rsidRDefault="00551178" w:rsidP="000503A2">
      <w:pPr>
        <w:spacing w:after="0" w:line="240" w:lineRule="auto"/>
        <w:ind w:left="567" w:hanging="567"/>
      </w:pPr>
      <w:r>
        <w:sym w:font="Symbol" w:char="F0B7"/>
      </w:r>
      <w:r>
        <w:t xml:space="preserve"> </w:t>
      </w:r>
      <w:r w:rsidR="000503A2">
        <w:t xml:space="preserve">       </w:t>
      </w:r>
      <w:r>
        <w:t xml:space="preserve">Use the water quality results to help inform feasibility of habitat and water quality improvements that can be made to the site. </w:t>
      </w:r>
    </w:p>
    <w:p w14:paraId="376E899B" w14:textId="3A50DF84" w:rsidR="00CE4BD2" w:rsidRDefault="00551178" w:rsidP="000503A2">
      <w:pPr>
        <w:spacing w:after="0" w:line="240" w:lineRule="auto"/>
        <w:ind w:left="567" w:hanging="567"/>
      </w:pPr>
      <w:r>
        <w:sym w:font="Symbol" w:char="F0B7"/>
      </w:r>
      <w:r>
        <w:t xml:space="preserve"> </w:t>
      </w:r>
      <w:r w:rsidR="000503A2">
        <w:t xml:space="preserve">       </w:t>
      </w:r>
      <w:r>
        <w:t>Provide management recommendations for the site</w:t>
      </w:r>
    </w:p>
    <w:p w14:paraId="05BBD64F" w14:textId="77777777" w:rsidR="000247E7" w:rsidRDefault="000247E7" w:rsidP="00B826F7">
      <w:pPr>
        <w:spacing w:after="0" w:line="240" w:lineRule="auto"/>
      </w:pPr>
    </w:p>
    <w:p w14:paraId="35078721" w14:textId="1D4F494D" w:rsidR="00CF7568" w:rsidRDefault="00CF7568" w:rsidP="00B826F7">
      <w:pPr>
        <w:spacing w:after="0" w:line="240" w:lineRule="auto"/>
      </w:pPr>
      <w:r>
        <w:t xml:space="preserve">The management of the site was taken on by South Derbyshire District Council in 2023. </w:t>
      </w:r>
    </w:p>
    <w:p w14:paraId="7CD7D27A" w14:textId="77777777" w:rsidR="00CF7568" w:rsidRDefault="00CF7568" w:rsidP="00B826F7">
      <w:pPr>
        <w:spacing w:after="0" w:line="240" w:lineRule="auto"/>
      </w:pPr>
      <w:r>
        <w:t xml:space="preserve">Future management of the site must continue to function as a drainage area for the </w:t>
      </w:r>
    </w:p>
    <w:p w14:paraId="7EB29C2F" w14:textId="77777777" w:rsidR="00CF7568" w:rsidRDefault="00CF7568" w:rsidP="00B826F7">
      <w:pPr>
        <w:spacing w:after="0" w:line="240" w:lineRule="auto"/>
      </w:pPr>
      <w:r>
        <w:t xml:space="preserve">surrounding estate, with the aim of improving habitat condition and diversity in a local nature </w:t>
      </w:r>
    </w:p>
    <w:p w14:paraId="27ABE20F" w14:textId="77777777" w:rsidR="00CF7568" w:rsidRDefault="00CF7568" w:rsidP="00B826F7">
      <w:pPr>
        <w:spacing w:after="0" w:line="240" w:lineRule="auto"/>
      </w:pPr>
      <w:r>
        <w:t xml:space="preserve">reserve that is well used by the local community as a recreational green space. The </w:t>
      </w:r>
      <w:proofErr w:type="gramStart"/>
      <w:r>
        <w:t>District</w:t>
      </w:r>
      <w:proofErr w:type="gramEnd"/>
      <w:r>
        <w:t xml:space="preserve"> </w:t>
      </w:r>
    </w:p>
    <w:p w14:paraId="080C1240" w14:textId="77777777" w:rsidR="00CF7568" w:rsidRDefault="00CF7568" w:rsidP="00B826F7">
      <w:pPr>
        <w:spacing w:after="0" w:line="240" w:lineRule="auto"/>
      </w:pPr>
      <w:r>
        <w:t xml:space="preserve">Council have expressed particular interest in the wet woodland habitat on site, with wet </w:t>
      </w:r>
    </w:p>
    <w:p w14:paraId="5224C896" w14:textId="77777777" w:rsidR="00CF7568" w:rsidRDefault="00CF7568" w:rsidP="00B826F7">
      <w:pPr>
        <w:spacing w:after="0" w:line="240" w:lineRule="auto"/>
      </w:pPr>
      <w:r>
        <w:t xml:space="preserve">woodland being one of the rarest woodland habitat types in the UK, and an important habitat </w:t>
      </w:r>
    </w:p>
    <w:p w14:paraId="68300A31" w14:textId="77777777" w:rsidR="00CF7568" w:rsidRDefault="00CF7568" w:rsidP="00B826F7">
      <w:pPr>
        <w:spacing w:after="0" w:line="240" w:lineRule="auto"/>
      </w:pPr>
      <w:r>
        <w:t xml:space="preserve">type supporting a high diversity of species, improvement to this habitat would be valuable to </w:t>
      </w:r>
    </w:p>
    <w:p w14:paraId="1603E2A1" w14:textId="77777777" w:rsidR="00CF7568" w:rsidRDefault="00CF7568" w:rsidP="00B826F7">
      <w:pPr>
        <w:spacing w:after="0" w:line="240" w:lineRule="auto"/>
      </w:pPr>
      <w:r>
        <w:t xml:space="preserve">the site and the district. </w:t>
      </w:r>
    </w:p>
    <w:p w14:paraId="46383DAC" w14:textId="77777777" w:rsidR="000F3F35" w:rsidRDefault="000F3F35" w:rsidP="00B826F7">
      <w:pPr>
        <w:spacing w:after="0" w:line="240" w:lineRule="auto"/>
      </w:pPr>
    </w:p>
    <w:p w14:paraId="77C35562" w14:textId="1005B688" w:rsidR="00CF7568" w:rsidRDefault="00CF7568" w:rsidP="00B826F7">
      <w:pPr>
        <w:spacing w:after="0" w:line="240" w:lineRule="auto"/>
      </w:pPr>
      <w:r>
        <w:t xml:space="preserve">In 2023 South Derbyshire District Council declared an “Ecological emergency in response </w:t>
      </w:r>
    </w:p>
    <w:p w14:paraId="1BAF9933" w14:textId="77777777" w:rsidR="00CF7568" w:rsidRDefault="00CF7568" w:rsidP="00B826F7">
      <w:pPr>
        <w:spacing w:after="0" w:line="240" w:lineRule="auto"/>
      </w:pPr>
      <w:r>
        <w:t xml:space="preserve">to the ongoing threat to wildlife and ecosystems” (SDDC, 2023) which states a commitment </w:t>
      </w:r>
    </w:p>
    <w:p w14:paraId="3A94F219" w14:textId="77777777" w:rsidR="00CF7568" w:rsidRDefault="00CF7568" w:rsidP="00B826F7">
      <w:pPr>
        <w:spacing w:after="0" w:line="240" w:lineRule="auto"/>
      </w:pPr>
      <w:r>
        <w:t xml:space="preserve">to enhance and restore local wildlife, collaborating with partners to increase ecological </w:t>
      </w:r>
    </w:p>
    <w:p w14:paraId="7F18883D" w14:textId="77777777" w:rsidR="00CF7568" w:rsidRDefault="00CF7568" w:rsidP="00B826F7">
      <w:pPr>
        <w:spacing w:after="0" w:line="240" w:lineRule="auto"/>
      </w:pPr>
      <w:r>
        <w:t xml:space="preserve">understanding and improve management. The council’s approach to this site honours the </w:t>
      </w:r>
    </w:p>
    <w:p w14:paraId="6B2F8039" w14:textId="77777777" w:rsidR="00CF7568" w:rsidRDefault="00CF7568" w:rsidP="00B826F7">
      <w:pPr>
        <w:spacing w:after="0" w:line="240" w:lineRule="auto"/>
      </w:pPr>
      <w:r>
        <w:t xml:space="preserve">commitments made and </w:t>
      </w:r>
      <w:proofErr w:type="gramStart"/>
      <w:r>
        <w:t>shows</w:t>
      </w:r>
      <w:proofErr w:type="gramEnd"/>
      <w:r>
        <w:t xml:space="preserve"> how seriously the approach to the ecological emergency is </w:t>
      </w:r>
    </w:p>
    <w:p w14:paraId="1856F27C" w14:textId="77777777" w:rsidR="00CF7568" w:rsidRDefault="00CF7568" w:rsidP="00B826F7">
      <w:pPr>
        <w:spacing w:after="0" w:line="240" w:lineRule="auto"/>
      </w:pPr>
      <w:r>
        <w:t xml:space="preserve">being taken. </w:t>
      </w:r>
    </w:p>
    <w:p w14:paraId="0DE084A2" w14:textId="77777777" w:rsidR="00CE4BD2" w:rsidRDefault="00CE4BD2" w:rsidP="00CE4BD2"/>
    <w:p w14:paraId="42E78451" w14:textId="2E69D8E2" w:rsidR="00CE4BD2" w:rsidRDefault="00BC03A0" w:rsidP="00122020">
      <w:pPr>
        <w:pStyle w:val="Heading2"/>
      </w:pPr>
      <w:r>
        <w:t>National Forest</w:t>
      </w:r>
    </w:p>
    <w:p w14:paraId="00DB284C" w14:textId="7317CBB7" w:rsidR="00CE4BD2" w:rsidRDefault="00084D8D" w:rsidP="00507C89">
      <w:pPr>
        <w:spacing w:line="240" w:lineRule="auto"/>
      </w:pPr>
      <w:r>
        <w:t xml:space="preserve">As part of the </w:t>
      </w:r>
      <w:r w:rsidR="005B24F8" w:rsidRPr="005B24F8">
        <w:t xml:space="preserve">National Forest Fungi Survey </w:t>
      </w:r>
      <w:r>
        <w:t xml:space="preserve">on the </w:t>
      </w:r>
      <w:proofErr w:type="gramStart"/>
      <w:r w:rsidR="005B24F8" w:rsidRPr="005B24F8">
        <w:t>25</w:t>
      </w:r>
      <w:r>
        <w:t>th</w:t>
      </w:r>
      <w:proofErr w:type="gramEnd"/>
      <w:r w:rsidR="005B24F8" w:rsidRPr="005B24F8">
        <w:t xml:space="preserve"> Oct</w:t>
      </w:r>
      <w:r>
        <w:t>ober 2025</w:t>
      </w:r>
      <w:r w:rsidR="006A49D0">
        <w:t>, 5</w:t>
      </w:r>
      <w:r w:rsidR="00DA6E2D">
        <w:t>3</w:t>
      </w:r>
      <w:r w:rsidR="006A49D0">
        <w:t xml:space="preserve"> fungus species were surveyed </w:t>
      </w:r>
      <w:r w:rsidR="003C5D0E">
        <w:t xml:space="preserve">by mycologist Beverly </w:t>
      </w:r>
      <w:r w:rsidR="00D118A1" w:rsidRPr="00D118A1">
        <w:t>Rhodes BSc MCIEEM BMS FCT</w:t>
      </w:r>
      <w:r w:rsidR="00D814EB">
        <w:t xml:space="preserve">. </w:t>
      </w:r>
      <w:r w:rsidR="00D814EB" w:rsidRPr="00D814EB">
        <w:t>12 adults attended the event.</w:t>
      </w:r>
    </w:p>
    <w:p w14:paraId="6CC39AA6" w14:textId="4297A1C8" w:rsidR="00102474" w:rsidRDefault="00102474" w:rsidP="000C7CB6">
      <w:pPr>
        <w:pStyle w:val="Heading2"/>
      </w:pPr>
      <w:r>
        <w:t xml:space="preserve">Butterfly </w:t>
      </w:r>
      <w:r w:rsidR="005F02BC">
        <w:t>Transects &amp; Butterfly Conservation</w:t>
      </w:r>
    </w:p>
    <w:p w14:paraId="303FFBBD" w14:textId="79AD28B8" w:rsidR="005F02BC" w:rsidRDefault="005F02BC" w:rsidP="000C7CB6">
      <w:pPr>
        <w:spacing w:after="0" w:line="240" w:lineRule="auto"/>
      </w:pPr>
      <w:r>
        <w:t>SDDC and Butterfly</w:t>
      </w:r>
      <w:r w:rsidR="000C7CB6">
        <w:t xml:space="preserve"> C</w:t>
      </w:r>
      <w:r>
        <w:t xml:space="preserve">onservation </w:t>
      </w:r>
      <w:r w:rsidRPr="005F02BC">
        <w:t xml:space="preserve">have been carrying out Butterfly Surveys over a </w:t>
      </w:r>
      <w:r w:rsidR="001A57E4" w:rsidRPr="005F02BC">
        <w:t>26-week</w:t>
      </w:r>
      <w:r w:rsidRPr="005F02BC">
        <w:t xml:space="preserve"> period over the summer, with the help of volunteers at Swadlincote Woodlands and Coton Park Nature Reserve since 2017 on an annual basis. </w:t>
      </w:r>
      <w:r w:rsidR="00CA68EA" w:rsidRPr="00CA68EA">
        <w:t xml:space="preserve">Ken Orpe, South Derbyshire Recorder for Butterfly Conservation, has stated that 2025 was our </w:t>
      </w:r>
      <w:r w:rsidR="009017A4" w:rsidRPr="00CA68EA">
        <w:t>best</w:t>
      </w:r>
      <w:r w:rsidR="00CA68EA" w:rsidRPr="00CA68EA">
        <w:t xml:space="preserve"> </w:t>
      </w:r>
      <w:r w:rsidR="009017A4">
        <w:t xml:space="preserve">ever </w:t>
      </w:r>
      <w:r w:rsidR="00CA68EA" w:rsidRPr="00CA68EA">
        <w:t>recording year for butterflies and highest numbers yet.   Probably something to do with the good summer we had but good to see how it rated in comparison to other years.</w:t>
      </w:r>
    </w:p>
    <w:p w14:paraId="5F0E9B7D" w14:textId="77777777" w:rsidR="00A90690" w:rsidRDefault="00A90690" w:rsidP="000C7CB6">
      <w:pPr>
        <w:spacing w:after="0" w:line="240" w:lineRule="auto"/>
      </w:pPr>
    </w:p>
    <w:p w14:paraId="36F2ED25" w14:textId="77777777" w:rsidR="00A90690" w:rsidRDefault="00A90690" w:rsidP="000C7CB6">
      <w:pPr>
        <w:spacing w:after="0" w:line="240" w:lineRule="auto"/>
      </w:pPr>
    </w:p>
    <w:p w14:paraId="49B3617F" w14:textId="77777777" w:rsidR="00A90690" w:rsidRDefault="00A90690" w:rsidP="000C7CB6">
      <w:pPr>
        <w:spacing w:after="0" w:line="240" w:lineRule="auto"/>
      </w:pPr>
    </w:p>
    <w:p w14:paraId="0B3296AA" w14:textId="77777777" w:rsidR="00A90690" w:rsidRDefault="00A90690" w:rsidP="000C7CB6">
      <w:pPr>
        <w:spacing w:after="0" w:line="240" w:lineRule="auto"/>
      </w:pPr>
    </w:p>
    <w:p w14:paraId="28A1BDF4" w14:textId="77777777" w:rsidR="00A90690" w:rsidRDefault="00A90690" w:rsidP="000C7CB6">
      <w:pPr>
        <w:spacing w:after="0" w:line="240" w:lineRule="auto"/>
      </w:pPr>
    </w:p>
    <w:p w14:paraId="021B372E" w14:textId="77777777" w:rsidR="00A90690" w:rsidRDefault="00A90690" w:rsidP="000C7CB6">
      <w:pPr>
        <w:spacing w:after="0" w:line="240" w:lineRule="auto"/>
      </w:pPr>
    </w:p>
    <w:p w14:paraId="41F3E0EF" w14:textId="77777777" w:rsidR="00A90690" w:rsidRDefault="00A90690" w:rsidP="000C7CB6">
      <w:pPr>
        <w:spacing w:after="0" w:line="240" w:lineRule="auto"/>
      </w:pPr>
    </w:p>
    <w:p w14:paraId="710540F2" w14:textId="524ED323" w:rsidR="00540B58" w:rsidRDefault="00540B58" w:rsidP="00540B58">
      <w:pPr>
        <w:pStyle w:val="Heading1"/>
        <w:numPr>
          <w:ilvl w:val="0"/>
          <w:numId w:val="20"/>
        </w:numPr>
      </w:pPr>
      <w:bookmarkStart w:id="14" w:name="_Toc216259245"/>
      <w:r>
        <w:lastRenderedPageBreak/>
        <w:t>Biodiversity Highlights &amp; Challenges</w:t>
      </w:r>
      <w:bookmarkEnd w:id="14"/>
    </w:p>
    <w:p w14:paraId="6A3AE072" w14:textId="77777777" w:rsidR="004D53A1" w:rsidRDefault="004D53A1" w:rsidP="004D53A1"/>
    <w:p w14:paraId="55530082" w14:textId="77777777" w:rsidR="00B862FC" w:rsidRDefault="007C1D74" w:rsidP="00A90690">
      <w:pPr>
        <w:pStyle w:val="Heading2"/>
      </w:pPr>
      <w:r>
        <w:t xml:space="preserve">Purple </w:t>
      </w:r>
      <w:r w:rsidR="00B862FC">
        <w:t>Emperor Project</w:t>
      </w:r>
    </w:p>
    <w:p w14:paraId="73ACFE17" w14:textId="77777777" w:rsidR="00A90690" w:rsidRDefault="009C5E86" w:rsidP="00A90690">
      <w:pPr>
        <w:spacing w:after="0" w:line="240" w:lineRule="auto"/>
      </w:pPr>
      <w:r>
        <w:t>Hundreds of trees are being planted in South Derbyshire as part of a groundbreaking initiative to attract one of the UK’s most iconic butterflies to the region for the first time.</w:t>
      </w:r>
    </w:p>
    <w:p w14:paraId="6C9DA07D" w14:textId="77777777" w:rsidR="00A90690" w:rsidRDefault="00A90690" w:rsidP="00A90690">
      <w:pPr>
        <w:spacing w:after="0" w:line="240" w:lineRule="auto"/>
      </w:pPr>
    </w:p>
    <w:p w14:paraId="6C25FBEE" w14:textId="4E9CB376" w:rsidR="004D53A1" w:rsidRDefault="009C5E86" w:rsidP="00A90690">
      <w:pPr>
        <w:spacing w:after="0" w:line="240" w:lineRule="auto"/>
      </w:pPr>
      <w:r>
        <w:t xml:space="preserve">East Midlands Butterfly Conservation and South Derbyshire District Council have teamed up with the support of the National Forest Company to spearhead the project to welcome the iconic and magnificent Purple Emperor butterfly to local woodlands. </w:t>
      </w:r>
      <w:r w:rsidR="007C1D74" w:rsidRPr="007C1D74">
        <w:t>The Council and East Midlands Butterfly Conservation have funded the purchase of 550 two-year old specially selected Goat Willow trees. These trees (also known as Sallow ‘whips’) are viewed as a perfect habitat for the species to thrive and become established.</w:t>
      </w:r>
    </w:p>
    <w:p w14:paraId="147470C3" w14:textId="77777777" w:rsidR="00505717" w:rsidRDefault="00505717" w:rsidP="00505717">
      <w:pPr>
        <w:spacing w:after="0" w:line="240" w:lineRule="auto"/>
      </w:pPr>
    </w:p>
    <w:p w14:paraId="63F02847" w14:textId="64DD2F82" w:rsidR="00393851" w:rsidRDefault="00393851" w:rsidP="00505717">
      <w:pPr>
        <w:spacing w:after="0" w:line="240" w:lineRule="auto"/>
      </w:pPr>
      <w:r w:rsidRPr="00393851">
        <w:t xml:space="preserve">Following the launch, other partners have pledged to support the project with tree planting. These include The National Trust at Calke Abbey, Staunton Harold &amp; Foremark, the University of Derby, Derby College, Bretby Golf Club, Lubrizol, Toyota, St Modwen Homes, other local councils, Mimi’s Wood, </w:t>
      </w:r>
      <w:proofErr w:type="spellStart"/>
      <w:r w:rsidRPr="00393851">
        <w:t>Grangewood</w:t>
      </w:r>
      <w:proofErr w:type="spellEnd"/>
      <w:r w:rsidRPr="00393851">
        <w:t>, Catton Park and other woodland sites</w:t>
      </w:r>
    </w:p>
    <w:p w14:paraId="77302A60" w14:textId="77777777" w:rsidR="00151A62" w:rsidRDefault="00151A62" w:rsidP="00151A62">
      <w:pPr>
        <w:pStyle w:val="NormalWeb"/>
      </w:pPr>
      <w:r>
        <w:rPr>
          <w:noProof/>
        </w:rPr>
        <w:drawing>
          <wp:inline distT="0" distB="0" distL="0" distR="0" wp14:anchorId="0DD6AD9F" wp14:editId="1A3D4504">
            <wp:extent cx="6334125" cy="4750594"/>
            <wp:effectExtent l="0" t="0" r="0" b="0"/>
            <wp:docPr id="2" name="Picture 1" descr="A butterfly on the 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utterfly on the ground&#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40749" cy="4755562"/>
                    </a:xfrm>
                    <a:prstGeom prst="rect">
                      <a:avLst/>
                    </a:prstGeom>
                    <a:noFill/>
                    <a:ln>
                      <a:noFill/>
                    </a:ln>
                  </pic:spPr>
                </pic:pic>
              </a:graphicData>
            </a:graphic>
          </wp:inline>
        </w:drawing>
      </w:r>
    </w:p>
    <w:p w14:paraId="0FAE62DC" w14:textId="4E70064F" w:rsidR="00393851" w:rsidRDefault="00B95FC5" w:rsidP="009C5E86">
      <w:r>
        <w:t>Purple E</w:t>
      </w:r>
      <w:r w:rsidR="007C3F47">
        <w:t>mperors have been seen in Derbyshire at two sites</w:t>
      </w:r>
      <w:r w:rsidR="00507774">
        <w:t xml:space="preserve"> near Aston on Trent </w:t>
      </w:r>
      <w:r w:rsidR="009E19D8">
        <w:t>on the 8</w:t>
      </w:r>
      <w:r w:rsidR="009E19D8" w:rsidRPr="009E19D8">
        <w:rPr>
          <w:vertAlign w:val="superscript"/>
        </w:rPr>
        <w:t>th</w:t>
      </w:r>
      <w:r w:rsidR="009E19D8">
        <w:t xml:space="preserve"> and 18</w:t>
      </w:r>
      <w:r w:rsidR="009E19D8" w:rsidRPr="009E19D8">
        <w:rPr>
          <w:vertAlign w:val="superscript"/>
        </w:rPr>
        <w:t>th</w:t>
      </w:r>
      <w:r w:rsidR="009E19D8">
        <w:t xml:space="preserve"> of July 2024.</w:t>
      </w:r>
    </w:p>
    <w:p w14:paraId="4BE52118" w14:textId="71C0008C" w:rsidR="00733F1B" w:rsidRDefault="00733F1B" w:rsidP="009C5E86">
      <w:r>
        <w:lastRenderedPageBreak/>
        <w:t>The project won a</w:t>
      </w:r>
      <w:r w:rsidR="0061770B">
        <w:t xml:space="preserve"> silver </w:t>
      </w:r>
      <w:r>
        <w:t>Green Apple award</w:t>
      </w:r>
      <w:r w:rsidR="00D85E05">
        <w:t xml:space="preserve">, </w:t>
      </w:r>
      <w:r w:rsidR="00D85E05" w:rsidRPr="00D85E05">
        <w:t>The Green Apple Environment Awards were established in 1994 as an annual campaign to recognise, reward and promote environmental best practice around the world.</w:t>
      </w:r>
    </w:p>
    <w:p w14:paraId="7BB2DB64" w14:textId="77777777" w:rsidR="007704A4" w:rsidRPr="009F567F" w:rsidRDefault="007704A4" w:rsidP="004E3B37">
      <w:pPr>
        <w:ind w:left="284" w:hanging="284"/>
      </w:pPr>
      <w:r w:rsidRPr="009F567F">
        <w:t>•</w:t>
      </w:r>
      <w:r w:rsidRPr="009F567F">
        <w:tab/>
        <w:t>Installation of bird and bat boxes and construction of invertebrate habitat gabions at Church Gresley Cemetery and on Church Street roundabout.</w:t>
      </w:r>
    </w:p>
    <w:p w14:paraId="17977CC6" w14:textId="77777777" w:rsidR="007704A4" w:rsidRPr="009F567F" w:rsidRDefault="007704A4" w:rsidP="004E3B37">
      <w:pPr>
        <w:ind w:left="284" w:hanging="284"/>
      </w:pPr>
      <w:r w:rsidRPr="009F567F">
        <w:t>•</w:t>
      </w:r>
      <w:r w:rsidRPr="009F567F">
        <w:tab/>
        <w:t>Ongoing wildflower meadow creation and bulb planting, including seeding the bank at the Miners’ Memorial in Eureka Park and bulb enhancement at Maurice Lea Park.</w:t>
      </w:r>
    </w:p>
    <w:p w14:paraId="299A6BB5" w14:textId="77777777" w:rsidR="007704A4" w:rsidRPr="009F567F" w:rsidRDefault="007704A4" w:rsidP="004E3B37">
      <w:pPr>
        <w:ind w:left="284" w:hanging="284"/>
      </w:pPr>
      <w:r w:rsidRPr="009F567F">
        <w:t>•</w:t>
      </w:r>
      <w:r w:rsidRPr="009F567F">
        <w:tab/>
        <w:t xml:space="preserve">2300+ trees planted across the </w:t>
      </w:r>
      <w:proofErr w:type="gramStart"/>
      <w:r w:rsidRPr="009F567F">
        <w:t>District</w:t>
      </w:r>
      <w:proofErr w:type="gramEnd"/>
      <w:r w:rsidRPr="009F567F">
        <w:t>, including whips and 184 standard trees.</w:t>
      </w:r>
    </w:p>
    <w:p w14:paraId="58B53D89" w14:textId="2422C5F0" w:rsidR="004B3C9E" w:rsidRPr="009F567F" w:rsidRDefault="007704A4" w:rsidP="004E3B37">
      <w:pPr>
        <w:ind w:left="284" w:hanging="284"/>
      </w:pPr>
      <w:r w:rsidRPr="009F567F">
        <w:t>•</w:t>
      </w:r>
      <w:r w:rsidRPr="009F567F">
        <w:tab/>
        <w:t>Implementation of a district-wide ban on balloon and sky lantern releases, aligned with Marine Conservation Society guidance.</w:t>
      </w:r>
    </w:p>
    <w:p w14:paraId="0A0F7833" w14:textId="77777777" w:rsidR="00CB4771" w:rsidRPr="009F567F" w:rsidRDefault="00CB4771" w:rsidP="004E3B37">
      <w:pPr>
        <w:ind w:left="284" w:hanging="284"/>
      </w:pPr>
      <w:r w:rsidRPr="009F567F">
        <w:t>•</w:t>
      </w:r>
      <w:r w:rsidRPr="009F567F">
        <w:tab/>
        <w:t xml:space="preserve">Working with Trent Rivers Trust and Coton Parish Council to deliver biodiversity improvements along the </w:t>
      </w:r>
      <w:proofErr w:type="spellStart"/>
      <w:r w:rsidRPr="009F567F">
        <w:t>Pessall</w:t>
      </w:r>
      <w:proofErr w:type="spellEnd"/>
      <w:r w:rsidRPr="009F567F">
        <w:t xml:space="preserve"> Brook in Coton-in-the-Elms.</w:t>
      </w:r>
    </w:p>
    <w:p w14:paraId="462D064A" w14:textId="76A5EA0F" w:rsidR="003C4038" w:rsidRPr="009F567F" w:rsidRDefault="003C4038" w:rsidP="004E3B37">
      <w:pPr>
        <w:ind w:left="284" w:hanging="284"/>
      </w:pPr>
      <w:r w:rsidRPr="009F567F">
        <w:t>•</w:t>
      </w:r>
      <w:r w:rsidRPr="009F567F">
        <w:tab/>
      </w:r>
      <w:r w:rsidR="004E3B37">
        <w:t>S</w:t>
      </w:r>
      <w:r w:rsidRPr="009F567F">
        <w:t xml:space="preserve">treet furniture project to reduce the use of </w:t>
      </w:r>
      <w:r w:rsidR="001375AD" w:rsidRPr="009F567F">
        <w:t>pesticides</w:t>
      </w:r>
      <w:r w:rsidRPr="009F567F">
        <w:t xml:space="preserve"> and </w:t>
      </w:r>
      <w:r w:rsidR="00470875" w:rsidRPr="009F567F">
        <w:t>glyphosate</w:t>
      </w:r>
      <w:r w:rsidRPr="009F567F">
        <w:t xml:space="preserve"> by seeding </w:t>
      </w:r>
      <w:proofErr w:type="spellStart"/>
      <w:r w:rsidRPr="009F567F">
        <w:t>wildlfowers</w:t>
      </w:r>
      <w:proofErr w:type="spellEnd"/>
      <w:r w:rsidRPr="009F567F">
        <w:t xml:space="preserve"> </w:t>
      </w:r>
      <w:r w:rsidR="00470875" w:rsidRPr="009F567F">
        <w:t>around</w:t>
      </w:r>
      <w:r w:rsidRPr="009F567F">
        <w:t xml:space="preserve"> street furniture for pollinators and to reduce mowing and strimming.</w:t>
      </w:r>
    </w:p>
    <w:p w14:paraId="0E82F8B3" w14:textId="5F8B6075" w:rsidR="00CB4771" w:rsidRPr="009F567F" w:rsidRDefault="00CB4771" w:rsidP="00103A93">
      <w:pPr>
        <w:ind w:left="284" w:hanging="284"/>
      </w:pPr>
      <w:r w:rsidRPr="009F567F">
        <w:t>•</w:t>
      </w:r>
      <w:r w:rsidRPr="009F567F">
        <w:tab/>
        <w:t>Commissioned water quality surveys at Castle Hill Wood to inform restoration and management priorities.</w:t>
      </w:r>
    </w:p>
    <w:p w14:paraId="540F180E" w14:textId="77777777" w:rsidR="00720B2C" w:rsidRPr="009F567F" w:rsidRDefault="00CB4771" w:rsidP="00103A93">
      <w:pPr>
        <w:ind w:left="284" w:hanging="284"/>
      </w:pPr>
      <w:r w:rsidRPr="009F567F">
        <w:t>•</w:t>
      </w:r>
      <w:r w:rsidRPr="009F567F">
        <w:tab/>
        <w:t>Plans to designate a new Local Nature Reserve on Open Mosaic Habitat at Main Street (Albert Village) and Penkridge Road (Gresley).</w:t>
      </w:r>
    </w:p>
    <w:p w14:paraId="7C2CF109" w14:textId="77777777" w:rsidR="00F431A9" w:rsidRDefault="00F431A9" w:rsidP="00720B2C">
      <w:pPr>
        <w:ind w:left="709" w:hanging="709"/>
        <w:rPr>
          <w:sz w:val="24"/>
          <w:szCs w:val="24"/>
        </w:rPr>
      </w:pPr>
    </w:p>
    <w:p w14:paraId="59211A6F" w14:textId="41DB6F81" w:rsidR="004B3C9E" w:rsidRPr="00F431A9" w:rsidRDefault="004B3C9E" w:rsidP="00F431A9">
      <w:pPr>
        <w:pStyle w:val="Heading2"/>
        <w:spacing w:after="240"/>
      </w:pPr>
      <w:r w:rsidRPr="00F431A9">
        <w:t>Challenges</w:t>
      </w:r>
    </w:p>
    <w:p w14:paraId="12DC58FE" w14:textId="74727252" w:rsidR="00984D1C" w:rsidRPr="009F567F" w:rsidRDefault="00E26E6B" w:rsidP="004E3B37">
      <w:pPr>
        <w:spacing w:line="240" w:lineRule="auto"/>
      </w:pPr>
      <w:r w:rsidRPr="009F567F">
        <w:t>T</w:t>
      </w:r>
      <w:r w:rsidR="00984D1C" w:rsidRPr="009F567F">
        <w:t xml:space="preserve">he council’s Action Plan for Nature </w:t>
      </w:r>
      <w:r w:rsidR="00E47042" w:rsidRPr="009F567F">
        <w:t xml:space="preserve">and </w:t>
      </w:r>
      <w:r w:rsidR="00801405" w:rsidRPr="009F567F">
        <w:t>Ecological Emergency Action Plan</w:t>
      </w:r>
      <w:r w:rsidR="00016A5A" w:rsidRPr="009F567F">
        <w:t xml:space="preserve"> </w:t>
      </w:r>
      <w:r w:rsidR="00984D1C" w:rsidRPr="009F567F">
        <w:t>highlight several key challenges and economic pressures affecting biodiversity in the district. These pressures mainly arise from development, population growth</w:t>
      </w:r>
      <w:r w:rsidR="006C1027" w:rsidRPr="009F567F">
        <w:t xml:space="preserve"> and </w:t>
      </w:r>
      <w:r w:rsidR="00984D1C" w:rsidRPr="009F567F">
        <w:t xml:space="preserve">land-use change </w:t>
      </w:r>
    </w:p>
    <w:p w14:paraId="2F0DD099" w14:textId="1671C56B" w:rsidR="00984D1C" w:rsidRPr="009F567F" w:rsidRDefault="00984D1C" w:rsidP="004E3B37">
      <w:pPr>
        <w:spacing w:line="240" w:lineRule="auto"/>
      </w:pPr>
      <w:r w:rsidRPr="009F567F">
        <w:t>South Derbyshire has one of the highest population growth rates nationally, driven largely by migration into the district. This growth requires new housing, transport infrastructure, and services, which often leads to land conversion and habitat loss.</w:t>
      </w:r>
      <w:r w:rsidR="00814B3E" w:rsidRPr="009F567F">
        <w:t xml:space="preserve"> </w:t>
      </w:r>
      <w:r w:rsidRPr="009F567F">
        <w:t xml:space="preserve">Development can affect Local Wildlife Sites, Local Nature Reserves, and protected habitats, especially when building occurs in sensitive ecological areas.  </w:t>
      </w:r>
    </w:p>
    <w:p w14:paraId="3992192D" w14:textId="77777777" w:rsidR="00984D1C" w:rsidRPr="009F567F" w:rsidRDefault="00984D1C" w:rsidP="004E3B37">
      <w:pPr>
        <w:spacing w:line="240" w:lineRule="auto"/>
      </w:pPr>
      <w:r w:rsidRPr="009F567F">
        <w:t>Local authorities must balance economic growth and housing demand with environmental protection, which often leads to trade-offs.</w:t>
      </w:r>
    </w:p>
    <w:p w14:paraId="6816B404" w14:textId="424B3047" w:rsidR="00984D1C" w:rsidRPr="009F567F" w:rsidRDefault="00B10D02" w:rsidP="004E3B37">
      <w:pPr>
        <w:spacing w:line="240" w:lineRule="auto"/>
      </w:pPr>
      <w:r w:rsidRPr="009F567F">
        <w:t>S</w:t>
      </w:r>
      <w:r w:rsidR="00984D1C" w:rsidRPr="009F567F">
        <w:t>outh Derbyshire has relatively few designated ecological areas compared to other parts of the county.</w:t>
      </w:r>
      <w:r w:rsidR="000C5274" w:rsidRPr="009F567F">
        <w:t xml:space="preserve"> </w:t>
      </w:r>
      <w:r w:rsidR="00984D1C" w:rsidRPr="009F567F">
        <w:t xml:space="preserve">Only a small proportion of the district is formally protected for </w:t>
      </w:r>
      <w:proofErr w:type="gramStart"/>
      <w:r w:rsidR="00984D1C" w:rsidRPr="009F567F">
        <w:t>biodiversity</w:t>
      </w:r>
      <w:proofErr w:type="gramEnd"/>
      <w:r w:rsidR="00984D1C" w:rsidRPr="009F567F">
        <w:t xml:space="preserve"> and</w:t>
      </w:r>
      <w:r w:rsidR="004678D7" w:rsidRPr="009F567F">
        <w:t xml:space="preserve"> t</w:t>
      </w:r>
      <w:r w:rsidR="00984D1C" w:rsidRPr="009F567F">
        <w:t>his means the remaining habitats are more vulnerable to fragmentation and degradation.</w:t>
      </w:r>
    </w:p>
    <w:p w14:paraId="201A14F8" w14:textId="3CBDE94E" w:rsidR="00984D1C" w:rsidRPr="009F567F" w:rsidRDefault="00984D1C" w:rsidP="004E3B37">
      <w:pPr>
        <w:spacing w:line="240" w:lineRule="auto"/>
      </w:pPr>
      <w:r w:rsidRPr="009F567F">
        <w:t>Much of South Derbyshire consists of agricultural lowland landscapes, which creates additional challenges.</w:t>
      </w:r>
      <w:r w:rsidR="00EA7C1C" w:rsidRPr="009F567F">
        <w:t xml:space="preserve"> </w:t>
      </w:r>
      <w:r w:rsidRPr="009F567F">
        <w:t>Agricultural productivity can sometimes conflict with habitat conservation goals, particularly for grasslands, hedgerows, and wetlands.</w:t>
      </w:r>
    </w:p>
    <w:p w14:paraId="211A030C" w14:textId="4959E527" w:rsidR="00984D1C" w:rsidRPr="009F567F" w:rsidRDefault="00984D1C" w:rsidP="004E3B37">
      <w:pPr>
        <w:spacing w:line="240" w:lineRule="auto"/>
      </w:pPr>
      <w:r w:rsidRPr="009F567F">
        <w:lastRenderedPageBreak/>
        <w:t>Like many councils, South Derbyshire faces limited financial and staffing resources for biodiversity management.</w:t>
      </w:r>
      <w:r w:rsidR="00304C7A">
        <w:t xml:space="preserve"> </w:t>
      </w:r>
      <w:r w:rsidRPr="009F567F">
        <w:t>Although the council has introduced initiatives such as</w:t>
      </w:r>
      <w:r w:rsidR="00304C7A">
        <w:t xml:space="preserve"> </w:t>
      </w:r>
      <w:r w:rsidR="003924F1">
        <w:t xml:space="preserve">a </w:t>
      </w:r>
      <w:r w:rsidRPr="009F567F">
        <w:t xml:space="preserve">Biodiversity </w:t>
      </w:r>
      <w:r w:rsidR="003924F1">
        <w:t>O</w:t>
      </w:r>
      <w:r w:rsidRPr="009F567F">
        <w:t>fficer role</w:t>
      </w:r>
      <w:r w:rsidR="003924F1">
        <w:t xml:space="preserve"> who has been in place for 4 years as well as expanding the Tree Officer team.</w:t>
      </w:r>
    </w:p>
    <w:p w14:paraId="13205BD0" w14:textId="77777777" w:rsidR="00984D1C" w:rsidRPr="009F567F" w:rsidRDefault="00984D1C" w:rsidP="004E3B37">
      <w:pPr>
        <w:spacing w:line="240" w:lineRule="auto"/>
      </w:pPr>
      <w:r w:rsidRPr="009F567F">
        <w:t>The delivery of large-scale nature recovery projects often depends on external funding, partnerships, or developer contributions.</w:t>
      </w:r>
    </w:p>
    <w:p w14:paraId="6CB8E325" w14:textId="3247343F" w:rsidR="00984D1C" w:rsidRPr="009F567F" w:rsidRDefault="00984D1C" w:rsidP="004E3B37">
      <w:pPr>
        <w:spacing w:line="240" w:lineRule="auto"/>
      </w:pPr>
      <w:r w:rsidRPr="009F567F">
        <w:t xml:space="preserve">The Environment Act requires at least 10% biodiversity net gain (BNG) for new </w:t>
      </w:r>
      <w:r w:rsidR="00F30DA8" w:rsidRPr="009F567F">
        <w:t>d</w:t>
      </w:r>
      <w:r w:rsidRPr="009F567F">
        <w:t>evelopments.</w:t>
      </w:r>
      <w:r w:rsidR="00F30DA8" w:rsidRPr="009F567F">
        <w:t xml:space="preserve"> </w:t>
      </w:r>
      <w:r w:rsidRPr="009F567F">
        <w:t>However, this creates economic tensions:</w:t>
      </w:r>
      <w:r w:rsidR="00F30DA8" w:rsidRPr="009F567F">
        <w:t xml:space="preserve"> </w:t>
      </w:r>
      <w:r w:rsidRPr="009F567F">
        <w:t xml:space="preserve">Developers may resist higher BNG requirements due to cost uncertainties.  </w:t>
      </w:r>
      <w:proofErr w:type="gramStart"/>
      <w:r w:rsidRPr="009F567F">
        <w:t>he</w:t>
      </w:r>
      <w:proofErr w:type="gramEnd"/>
      <w:r w:rsidRPr="009F567F">
        <w:t xml:space="preserve"> cost of delivering habitat improvements depends on the baseline biodiversity of the site, making financial planning difficult.</w:t>
      </w:r>
    </w:p>
    <w:p w14:paraId="6F71B6AB" w14:textId="40FEFDAE" w:rsidR="00984D1C" w:rsidRPr="009F567F" w:rsidRDefault="00984D1C" w:rsidP="004E3B37">
      <w:pPr>
        <w:spacing w:line="240" w:lineRule="auto"/>
      </w:pPr>
      <w:r w:rsidRPr="009F567F">
        <w:t>This means councils must balance</w:t>
      </w:r>
      <w:r w:rsidR="00F30DA8" w:rsidRPr="009F567F">
        <w:t xml:space="preserve"> </w:t>
      </w:r>
      <w:r w:rsidRPr="009F567F">
        <w:t>ecological improvements</w:t>
      </w:r>
      <w:r w:rsidR="00F30DA8" w:rsidRPr="009F567F">
        <w:t xml:space="preserve">, </w:t>
      </w:r>
      <w:r w:rsidRPr="009F567F">
        <w:t>housing affordability</w:t>
      </w:r>
      <w:r w:rsidR="00F30DA8" w:rsidRPr="009F567F">
        <w:t xml:space="preserve"> and </w:t>
      </w:r>
      <w:r w:rsidRPr="009F567F">
        <w:t>developer viability</w:t>
      </w:r>
    </w:p>
    <w:p w14:paraId="779EF01A" w14:textId="11692F3B" w:rsidR="00984D1C" w:rsidRPr="009F567F" w:rsidRDefault="00984D1C" w:rsidP="004E3B37">
      <w:pPr>
        <w:spacing w:line="240" w:lineRule="auto"/>
      </w:pPr>
      <w:r w:rsidRPr="009F567F">
        <w:t>Urban expansion and infrastructure can fragment habitats, reducing ecological connectivity.</w:t>
      </w:r>
      <w:r w:rsidR="00C83EA5" w:rsidRPr="009F567F">
        <w:t xml:space="preserve"> </w:t>
      </w:r>
      <w:r w:rsidRPr="009F567F">
        <w:t>South Derbyshire’s biodiversity strategy aims to</w:t>
      </w:r>
      <w:r w:rsidR="00BF3435" w:rsidRPr="009F567F">
        <w:t xml:space="preserve"> </w:t>
      </w:r>
      <w:r w:rsidRPr="009F567F">
        <w:t>improve ecological networks and habitat connectivity</w:t>
      </w:r>
      <w:r w:rsidR="00BF3435" w:rsidRPr="009F567F">
        <w:t xml:space="preserve"> and </w:t>
      </w:r>
      <w:r w:rsidRPr="009F567F">
        <w:t>link habitats through projects such as the National Forest landscape restoration. However, restoring connectivity requires large-scale landscape planning and significant investment.</w:t>
      </w:r>
    </w:p>
    <w:p w14:paraId="2FD1380E" w14:textId="328FEF67" w:rsidR="007C1C11" w:rsidRPr="009F567F" w:rsidRDefault="00C95549" w:rsidP="004E3B37">
      <w:pPr>
        <w:spacing w:line="240" w:lineRule="auto"/>
      </w:pPr>
      <w:r>
        <w:t>A</w:t>
      </w:r>
      <w:r w:rsidR="00984D1C" w:rsidRPr="009F567F">
        <w:t>nother challenge is providing access to nature while protecting biodiversity.</w:t>
      </w:r>
      <w:r w:rsidR="00C83EA5" w:rsidRPr="009F567F">
        <w:t xml:space="preserve"> </w:t>
      </w:r>
      <w:r w:rsidR="00984D1C" w:rsidRPr="009F567F">
        <w:t xml:space="preserve">This creates a planning </w:t>
      </w:r>
      <w:r w:rsidR="00961A21" w:rsidRPr="009F567F">
        <w:t>challenge: improving</w:t>
      </w:r>
      <w:r w:rsidR="00984D1C" w:rsidRPr="009F567F">
        <w:t xml:space="preserve"> public access to green space without damaging sensitive habitats.</w:t>
      </w:r>
    </w:p>
    <w:p w14:paraId="0C4E39A0" w14:textId="279B3AC4" w:rsidR="004B3C9E" w:rsidRDefault="00FE6402" w:rsidP="005E2530">
      <w:pPr>
        <w:pStyle w:val="Heading2"/>
      </w:pPr>
      <w:r>
        <w:t>Applications Effecting Habitats of Priority Importance</w:t>
      </w:r>
    </w:p>
    <w:p w14:paraId="668CC913" w14:textId="510D0922" w:rsidR="0028785B" w:rsidRPr="00930D84" w:rsidRDefault="00930D84" w:rsidP="19F7AE6F">
      <w:pPr>
        <w:rPr>
          <w:b/>
          <w:bCs/>
          <w:sz w:val="24"/>
          <w:szCs w:val="24"/>
        </w:rPr>
      </w:pPr>
      <w:r w:rsidRPr="00930D84">
        <w:rPr>
          <w:b/>
          <w:bCs/>
          <w:sz w:val="24"/>
          <w:szCs w:val="24"/>
        </w:rPr>
        <w:t xml:space="preserve">DMPA/2025/1001; Land at Toyota Manufacturing UK, Derby, DE1 </w:t>
      </w:r>
      <w:proofErr w:type="gramStart"/>
      <w:r w:rsidRPr="00930D84">
        <w:rPr>
          <w:b/>
          <w:bCs/>
          <w:sz w:val="24"/>
          <w:szCs w:val="24"/>
        </w:rPr>
        <w:t>9TA;</w:t>
      </w:r>
      <w:proofErr w:type="gramEnd"/>
    </w:p>
    <w:p w14:paraId="3314C4B8" w14:textId="416FE431" w:rsidR="0028785B" w:rsidRPr="0076314E" w:rsidRDefault="0082063A" w:rsidP="00D04187">
      <w:pPr>
        <w:spacing w:line="240" w:lineRule="auto"/>
      </w:pPr>
      <w:r w:rsidRPr="0076314E">
        <w:t xml:space="preserve">Included within the proposals is the presence of 3.11 ha Lowland Meadow (unimproved) grassland vegetation </w:t>
      </w:r>
      <w:r w:rsidR="004F6BE1" w:rsidRPr="0076314E">
        <w:t>i</w:t>
      </w:r>
      <w:r w:rsidRPr="0076314E">
        <w:t>nclud</w:t>
      </w:r>
      <w:r w:rsidR="004F6BE1" w:rsidRPr="0076314E">
        <w:t xml:space="preserve">ing </w:t>
      </w:r>
      <w:r w:rsidRPr="0076314E">
        <w:t>two fields that support MG4 grassland vegetation communities. A third field (2.59 ha) supports MG5 grassland vegetation and should also be classified as lowland meadow</w:t>
      </w:r>
      <w:r w:rsidR="00D818AB" w:rsidRPr="0076314E">
        <w:t xml:space="preserve"> or </w:t>
      </w:r>
      <w:r w:rsidRPr="0076314E">
        <w:t xml:space="preserve">other lowland meadow (g3a6). SDDC Biodiversity Net Gain Guidance includes unimproved grassland as an irreplaceable habitat which includes MG4 and MG5 habitat types. </w:t>
      </w:r>
      <w:r w:rsidR="006769BE" w:rsidRPr="0076314E">
        <w:t>The grasslands in the metric are valued at 184.64 units approximating to £4,616,000 pounds based on £25,000 per unit or under current pricing per unit for lowland meadow £35,476 (Biodiversity Units UK) to £6,550,288.</w:t>
      </w:r>
      <w:r w:rsidR="002A3A25" w:rsidRPr="002A3A25">
        <w:t xml:space="preserve"> </w:t>
      </w:r>
      <w:r w:rsidR="002A3A25" w:rsidRPr="0076314E">
        <w:t>The MG4/MG5 grassland may be the only remaining unimproved grasslands within the South Derbyshire district, with only one other known example. This is why these grasslands are considered irreplaceable. Problems also exist in mitigating/compensating for their loss, as this habitat is very hard to recreate and as such many BNG providers can’t provide this habitat type as they require effective traditional long-term management over a 30-year period</w:t>
      </w:r>
      <w:r w:rsidR="00DD2689" w:rsidRPr="0076314E">
        <w:t>.</w:t>
      </w:r>
    </w:p>
    <w:p w14:paraId="2C4BA56B" w14:textId="46A2437B" w:rsidR="00A87939" w:rsidRPr="00CE2F73" w:rsidRDefault="00A028E6" w:rsidP="00D04187">
      <w:pPr>
        <w:spacing w:line="240" w:lineRule="auto"/>
      </w:pPr>
      <w:r w:rsidRPr="00CE2F73">
        <w:t xml:space="preserve">Lowland meadow </w:t>
      </w:r>
      <w:r w:rsidR="00F431A9" w:rsidRPr="00CE2F73">
        <w:t xml:space="preserve">is </w:t>
      </w:r>
      <w:r w:rsidRPr="00CE2F73">
        <w:t xml:space="preserve">a </w:t>
      </w:r>
      <w:r w:rsidR="00F431A9" w:rsidRPr="00CE2F73">
        <w:t>H</w:t>
      </w:r>
      <w:r w:rsidRPr="00CE2F73">
        <w:t>abitat of Principal Importance</w:t>
      </w:r>
      <w:r w:rsidR="00C95549" w:rsidRPr="00CE2F73">
        <w:t>.</w:t>
      </w:r>
      <w:r w:rsidRPr="00CE2F73">
        <w:t xml:space="preserve"> </w:t>
      </w:r>
    </w:p>
    <w:p w14:paraId="3CE9A1E9" w14:textId="48A420E0" w:rsidR="00FC59F6" w:rsidRDefault="00FC59F6" w:rsidP="005F3D3C">
      <w:pPr>
        <w:pStyle w:val="Heading2"/>
      </w:pPr>
      <w:r w:rsidRPr="005F3D3C">
        <w:t xml:space="preserve">Pause in SLA Agreement </w:t>
      </w:r>
      <w:r w:rsidR="005F3D3C" w:rsidRPr="005F3D3C">
        <w:t>for LWS</w:t>
      </w:r>
    </w:p>
    <w:p w14:paraId="4FEBFEB2" w14:textId="694ED5AC" w:rsidR="003E3554" w:rsidRDefault="003E3554" w:rsidP="0076314E">
      <w:pPr>
        <w:spacing w:line="240" w:lineRule="auto"/>
      </w:pPr>
      <w:r>
        <w:t>Due to budget constraints</w:t>
      </w:r>
      <w:r w:rsidR="007A7272">
        <w:t xml:space="preserve">, the SLA for LWS monitoring and </w:t>
      </w:r>
      <w:r w:rsidR="00315FCB">
        <w:t xml:space="preserve">designation </w:t>
      </w:r>
      <w:r w:rsidR="0075324D">
        <w:t>was paused</w:t>
      </w:r>
      <w:r w:rsidR="00B96EDD">
        <w:t xml:space="preserve"> but funds have been committed from the Ecological Emergency Fund</w:t>
      </w:r>
      <w:r w:rsidR="0075324D">
        <w:t xml:space="preserve"> </w:t>
      </w:r>
      <w:r w:rsidR="005044D1">
        <w:t xml:space="preserve">to continue the </w:t>
      </w:r>
      <w:r w:rsidR="00AE3AD4">
        <w:t xml:space="preserve">SLA agreement </w:t>
      </w:r>
      <w:r w:rsidR="00283A0B">
        <w:t>with Derbyshire Wil</w:t>
      </w:r>
      <w:r w:rsidR="00FD36D4">
        <w:t>dlife Trust fo</w:t>
      </w:r>
      <w:r w:rsidR="00AE3AD4">
        <w:t>r LWS</w:t>
      </w:r>
      <w:r w:rsidR="00FD36D4">
        <w:t>’s</w:t>
      </w:r>
      <w:r w:rsidR="00AE3AD4">
        <w:t xml:space="preserve"> for the next</w:t>
      </w:r>
      <w:r w:rsidR="00521B08">
        <w:t xml:space="preserve"> financial </w:t>
      </w:r>
      <w:r w:rsidR="00AE3AD4">
        <w:t>year.</w:t>
      </w:r>
      <w:r w:rsidR="005044D1">
        <w:t xml:space="preserve"> </w:t>
      </w:r>
    </w:p>
    <w:p w14:paraId="21D4EF0F" w14:textId="77777777" w:rsidR="00E4765C" w:rsidRDefault="00E4765C" w:rsidP="0076314E">
      <w:pPr>
        <w:spacing w:line="240" w:lineRule="auto"/>
      </w:pPr>
    </w:p>
    <w:p w14:paraId="49FBD67C" w14:textId="77777777" w:rsidR="00E4765C" w:rsidRDefault="00E4765C" w:rsidP="0076314E">
      <w:pPr>
        <w:spacing w:line="240" w:lineRule="auto"/>
      </w:pPr>
    </w:p>
    <w:p w14:paraId="4D0F7E15" w14:textId="77777777" w:rsidR="00E4765C" w:rsidRDefault="00E4765C" w:rsidP="0076314E">
      <w:pPr>
        <w:spacing w:line="240" w:lineRule="auto"/>
      </w:pPr>
    </w:p>
    <w:p w14:paraId="40E1B652" w14:textId="77777777" w:rsidR="00E4765C" w:rsidRDefault="00E4765C" w:rsidP="0076314E">
      <w:pPr>
        <w:spacing w:line="240" w:lineRule="auto"/>
      </w:pPr>
    </w:p>
    <w:p w14:paraId="0CE0913C" w14:textId="77777777" w:rsidR="00E4765C" w:rsidRDefault="00E4765C" w:rsidP="0076314E">
      <w:pPr>
        <w:spacing w:line="240" w:lineRule="auto"/>
      </w:pPr>
    </w:p>
    <w:sectPr w:rsidR="00E4765C" w:rsidSect="00E45FAA">
      <w:headerReference w:type="default" r:id="rId20"/>
      <w:footerReference w:type="default" r:id="rId21"/>
      <w:headerReference w:type="first" r:id="rId22"/>
      <w:footerReference w:type="first" r:id="rId23"/>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C9362" w14:textId="77777777" w:rsidR="001A050D" w:rsidRDefault="001A050D" w:rsidP="001030EA">
      <w:pPr>
        <w:spacing w:after="0" w:line="240" w:lineRule="auto"/>
      </w:pPr>
      <w:r>
        <w:separator/>
      </w:r>
    </w:p>
  </w:endnote>
  <w:endnote w:type="continuationSeparator" w:id="0">
    <w:p w14:paraId="01324277" w14:textId="77777777" w:rsidR="001A050D" w:rsidRDefault="001A050D" w:rsidP="001030EA">
      <w:pPr>
        <w:spacing w:after="0" w:line="240" w:lineRule="auto"/>
      </w:pPr>
      <w:r>
        <w:continuationSeparator/>
      </w:r>
    </w:p>
  </w:endnote>
  <w:endnote w:type="continuationNotice" w:id="1">
    <w:p w14:paraId="439FADF5" w14:textId="77777777" w:rsidR="001A050D" w:rsidRDefault="001A05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leo">
    <w:charset w:val="00"/>
    <w:family w:val="auto"/>
    <w:pitch w:val="variable"/>
    <w:sig w:usb0="00000007" w:usb1="00000000" w:usb2="00000000" w:usb3="00000000" w:csb0="00000083"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ndara" w:hAnsi="Candara"/>
        <w:sz w:val="20"/>
        <w:szCs w:val="20"/>
      </w:rPr>
      <w:id w:val="526919456"/>
      <w:docPartObj>
        <w:docPartGallery w:val="Page Numbers (Bottom of Page)"/>
        <w:docPartUnique/>
      </w:docPartObj>
    </w:sdtPr>
    <w:sdtEndPr>
      <w:rPr>
        <w:rFonts w:ascii="Trebuchet MS" w:hAnsi="Trebuchet MS"/>
        <w:noProof/>
      </w:rPr>
    </w:sdtEndPr>
    <w:sdtContent>
      <w:p w14:paraId="506D414B" w14:textId="00546692" w:rsidR="001030EA" w:rsidRDefault="551DFF08" w:rsidP="551DFF08">
        <w:pPr>
          <w:pStyle w:val="Footer"/>
          <w:rPr>
            <w:rFonts w:ascii="Trebuchet MS" w:hAnsi="Trebuchet MS"/>
            <w:b/>
            <w:bCs/>
            <w:noProof/>
            <w:sz w:val="20"/>
            <w:szCs w:val="20"/>
          </w:rPr>
        </w:pPr>
        <w:r w:rsidRPr="551DFF08">
          <w:rPr>
            <w:rFonts w:ascii="Trebuchet MS" w:hAnsi="Trebuchet MS"/>
            <w:sz w:val="20"/>
            <w:szCs w:val="20"/>
          </w:rPr>
          <w:t xml:space="preserve">Page | </w:t>
        </w:r>
        <w:r w:rsidR="001030EA" w:rsidRPr="551DFF08">
          <w:rPr>
            <w:rFonts w:ascii="Trebuchet MS" w:hAnsi="Trebuchet MS"/>
            <w:noProof/>
            <w:sz w:val="20"/>
            <w:szCs w:val="20"/>
          </w:rPr>
          <w:fldChar w:fldCharType="begin"/>
        </w:r>
        <w:r w:rsidR="001030EA" w:rsidRPr="551DFF08">
          <w:rPr>
            <w:rFonts w:ascii="Trebuchet MS" w:hAnsi="Trebuchet MS"/>
            <w:sz w:val="20"/>
            <w:szCs w:val="20"/>
          </w:rPr>
          <w:instrText xml:space="preserve"> PAGE   \* MERGEFORMAT </w:instrText>
        </w:r>
        <w:r w:rsidR="001030EA" w:rsidRPr="551DFF08">
          <w:rPr>
            <w:rFonts w:ascii="Trebuchet MS" w:hAnsi="Trebuchet MS"/>
            <w:sz w:val="20"/>
            <w:szCs w:val="20"/>
          </w:rPr>
          <w:fldChar w:fldCharType="separate"/>
        </w:r>
        <w:r w:rsidRPr="551DFF08">
          <w:rPr>
            <w:rFonts w:ascii="Trebuchet MS" w:hAnsi="Trebuchet MS"/>
            <w:noProof/>
            <w:sz w:val="20"/>
            <w:szCs w:val="20"/>
          </w:rPr>
          <w:t>4</w:t>
        </w:r>
        <w:r w:rsidR="001030EA" w:rsidRPr="551DFF08">
          <w:rPr>
            <w:rFonts w:ascii="Trebuchet MS" w:hAnsi="Trebuchet MS"/>
            <w:noProof/>
            <w:sz w:val="20"/>
            <w:szCs w:val="20"/>
          </w:rPr>
          <w:fldChar w:fldCharType="end"/>
        </w:r>
        <w:r w:rsidRPr="551DFF08">
          <w:rPr>
            <w:rFonts w:ascii="Trebuchet MS" w:hAnsi="Trebuchet MS"/>
            <w:noProof/>
            <w:sz w:val="20"/>
            <w:szCs w:val="20"/>
          </w:rPr>
          <w:t xml:space="preserve"> | </w:t>
        </w:r>
        <w:r w:rsidR="001030EA">
          <w:tab/>
        </w:r>
        <w:r w:rsidR="001030EA">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551DFF08" w14:paraId="60E9C0AD" w14:textId="77777777" w:rsidTr="551DFF08">
      <w:trPr>
        <w:trHeight w:val="300"/>
      </w:trPr>
      <w:tc>
        <w:tcPr>
          <w:tcW w:w="3245" w:type="dxa"/>
        </w:tcPr>
        <w:p w14:paraId="3D94F8D3" w14:textId="76620C56" w:rsidR="551DFF08" w:rsidRDefault="551DFF08" w:rsidP="551DFF08">
          <w:pPr>
            <w:pStyle w:val="Header"/>
            <w:ind w:left="-115"/>
          </w:pPr>
        </w:p>
      </w:tc>
      <w:tc>
        <w:tcPr>
          <w:tcW w:w="3245" w:type="dxa"/>
        </w:tcPr>
        <w:p w14:paraId="130B1B6E" w14:textId="4C088119" w:rsidR="551DFF08" w:rsidRDefault="551DFF08" w:rsidP="551DFF08">
          <w:pPr>
            <w:pStyle w:val="Header"/>
            <w:jc w:val="center"/>
          </w:pPr>
        </w:p>
      </w:tc>
      <w:tc>
        <w:tcPr>
          <w:tcW w:w="3245" w:type="dxa"/>
        </w:tcPr>
        <w:p w14:paraId="00D9DE8B" w14:textId="3679A77F" w:rsidR="551DFF08" w:rsidRDefault="551DFF08" w:rsidP="551DFF08">
          <w:pPr>
            <w:pStyle w:val="Header"/>
            <w:ind w:right="-115"/>
            <w:jc w:val="right"/>
          </w:pPr>
        </w:p>
      </w:tc>
    </w:tr>
  </w:tbl>
  <w:p w14:paraId="17410938" w14:textId="20F8B41B" w:rsidR="551DFF08" w:rsidRDefault="551DFF08" w:rsidP="551DF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DA61C" w14:textId="77777777" w:rsidR="001A050D" w:rsidRDefault="001A050D" w:rsidP="001030EA">
      <w:pPr>
        <w:spacing w:after="0" w:line="240" w:lineRule="auto"/>
      </w:pPr>
      <w:r>
        <w:separator/>
      </w:r>
    </w:p>
  </w:footnote>
  <w:footnote w:type="continuationSeparator" w:id="0">
    <w:p w14:paraId="289B1F1D" w14:textId="77777777" w:rsidR="001A050D" w:rsidRDefault="001A050D" w:rsidP="001030EA">
      <w:pPr>
        <w:spacing w:after="0" w:line="240" w:lineRule="auto"/>
      </w:pPr>
      <w:r>
        <w:continuationSeparator/>
      </w:r>
    </w:p>
  </w:footnote>
  <w:footnote w:type="continuationNotice" w:id="1">
    <w:p w14:paraId="03A05624" w14:textId="77777777" w:rsidR="001A050D" w:rsidRDefault="001A05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CBEB1" w14:textId="3EA704CD" w:rsidR="001030EA" w:rsidRPr="00876DB0" w:rsidRDefault="001847AA" w:rsidP="001030EA">
    <w:pPr>
      <w:pStyle w:val="Header"/>
      <w:rPr>
        <w:rFonts w:ascii="Trebuchet MS" w:hAnsi="Trebuchet MS"/>
        <w:b/>
        <w:sz w:val="16"/>
        <w:szCs w:val="16"/>
      </w:rPr>
    </w:pPr>
    <w:r>
      <w:rPr>
        <w:rFonts w:ascii="Trebuchet MS" w:hAnsi="Trebuchet MS"/>
        <w:b/>
        <w:sz w:val="16"/>
        <w:szCs w:val="16"/>
      </w:rPr>
      <w:t>Biodiversity Report 2025</w:t>
    </w:r>
    <w:r w:rsidR="00876DB0" w:rsidRPr="00876DB0">
      <w:rPr>
        <w:rFonts w:ascii="Trebuchet MS" w:hAnsi="Trebuchet MS"/>
        <w:b/>
        <w:sz w:val="16"/>
        <w:szCs w:val="16"/>
      </w:rPr>
      <w:tab/>
    </w:r>
    <w:r w:rsidR="00D56ED6">
      <w:rPr>
        <w:rFonts w:ascii="Trebuchet MS" w:hAnsi="Trebuchet MS"/>
        <w:b/>
        <w:sz w:val="16"/>
        <w:szCs w:val="16"/>
      </w:rPr>
      <w:tab/>
    </w:r>
    <w:r w:rsidR="00876DB0" w:rsidRPr="00876DB0">
      <w:rPr>
        <w:rFonts w:ascii="Trebuchet MS" w:hAnsi="Trebuchet MS"/>
        <w:b/>
        <w:sz w:val="16"/>
        <w:szCs w:val="16"/>
      </w:rPr>
      <w:t xml:space="preserve">Version </w:t>
    </w:r>
    <w:r w:rsidR="00AD4677">
      <w:rPr>
        <w:rFonts w:ascii="Trebuchet MS" w:hAnsi="Trebuchet MS"/>
        <w:b/>
        <w:sz w:val="16"/>
        <w:szCs w:val="16"/>
      </w:rPr>
      <w:t>0.1</w:t>
    </w:r>
  </w:p>
  <w:p w14:paraId="03DC50DD" w14:textId="77777777" w:rsidR="001030EA" w:rsidRPr="001030EA" w:rsidRDefault="001030EA" w:rsidP="001030EA">
    <w:pPr>
      <w:pStyle w:val="Header"/>
      <w:rPr>
        <w:rFonts w:ascii="Aleo" w:hAnsi="Aleo"/>
        <w:b/>
        <w:color w:val="2D0054"/>
      </w:rPr>
    </w:pPr>
  </w:p>
  <w:p w14:paraId="3616E97B" w14:textId="77777777" w:rsidR="002400C9" w:rsidRDefault="002400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515E5" w14:textId="77777777" w:rsidR="00E45FAA" w:rsidRDefault="00E45FAA">
    <w:pPr>
      <w:pStyle w:val="Header"/>
    </w:pPr>
    <w:r w:rsidRPr="00E45FAA">
      <w:rPr>
        <w:noProof/>
        <w:lang w:eastAsia="en-GB"/>
      </w:rPr>
      <w:drawing>
        <wp:anchor distT="0" distB="0" distL="114300" distR="114300" simplePos="0" relativeHeight="251658241" behindDoc="0" locked="0" layoutInCell="1" allowOverlap="1" wp14:anchorId="2816BD3D" wp14:editId="0B669DDD">
          <wp:simplePos x="0" y="0"/>
          <wp:positionH relativeFrom="column">
            <wp:posOffset>5753100</wp:posOffset>
          </wp:positionH>
          <wp:positionV relativeFrom="paragraph">
            <wp:posOffset>-287655</wp:posOffset>
          </wp:positionV>
          <wp:extent cx="978535" cy="13843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 V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535" cy="1384300"/>
                  </a:xfrm>
                  <a:prstGeom prst="rect">
                    <a:avLst/>
                  </a:prstGeom>
                </pic:spPr>
              </pic:pic>
            </a:graphicData>
          </a:graphic>
          <wp14:sizeRelH relativeFrom="page">
            <wp14:pctWidth>0</wp14:pctWidth>
          </wp14:sizeRelH>
          <wp14:sizeRelV relativeFrom="page">
            <wp14:pctHeight>0</wp14:pctHeight>
          </wp14:sizeRelV>
        </wp:anchor>
      </w:drawing>
    </w:r>
    <w:r w:rsidRPr="00E45FAA">
      <w:rPr>
        <w:noProof/>
        <w:lang w:eastAsia="en-GB"/>
      </w:rPr>
      <w:drawing>
        <wp:anchor distT="0" distB="0" distL="114300" distR="114300" simplePos="0" relativeHeight="251658240" behindDoc="1" locked="0" layoutInCell="1" allowOverlap="1" wp14:anchorId="7AC2CC72" wp14:editId="1E2A3537">
          <wp:simplePos x="0" y="0"/>
          <wp:positionH relativeFrom="column">
            <wp:posOffset>2276475</wp:posOffset>
          </wp:positionH>
          <wp:positionV relativeFrom="paragraph">
            <wp:posOffset>1455420</wp:posOffset>
          </wp:positionV>
          <wp:extent cx="4608195" cy="8796020"/>
          <wp:effectExtent l="0" t="0" r="1905"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mark corporate plan.tif"/>
                  <pic:cNvPicPr/>
                </pic:nvPicPr>
                <pic:blipFill>
                  <a:blip r:embed="rId2">
                    <a:extLst>
                      <a:ext uri="{28A0092B-C50C-407E-A947-70E740481C1C}">
                        <a14:useLocalDpi xmlns:a14="http://schemas.microsoft.com/office/drawing/2010/main" val="0"/>
                      </a:ext>
                    </a:extLst>
                  </a:blip>
                  <a:stretch>
                    <a:fillRect/>
                  </a:stretch>
                </pic:blipFill>
                <pic:spPr>
                  <a:xfrm>
                    <a:off x="0" y="0"/>
                    <a:ext cx="4608195" cy="87960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0A98"/>
    <w:multiLevelType w:val="singleLevel"/>
    <w:tmpl w:val="5C48C7A6"/>
    <w:lvl w:ilvl="0">
      <w:start w:val="1"/>
      <w:numFmt w:val="bullet"/>
      <w:pStyle w:val="listbulletround1"/>
      <w:lvlText w:val="l"/>
      <w:lvlJc w:val="left"/>
      <w:pPr>
        <w:tabs>
          <w:tab w:val="num" w:pos="1440"/>
        </w:tabs>
        <w:ind w:left="1440" w:hanging="720"/>
      </w:pPr>
      <w:rPr>
        <w:rFonts w:ascii="Wingdings" w:hAnsi="Wingdings" w:hint="default"/>
      </w:rPr>
    </w:lvl>
  </w:abstractNum>
  <w:abstractNum w:abstractNumId="1" w15:restartNumberingAfterBreak="0">
    <w:nsid w:val="0D233D0E"/>
    <w:multiLevelType w:val="multilevel"/>
    <w:tmpl w:val="02E6B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97E7A"/>
    <w:multiLevelType w:val="multilevel"/>
    <w:tmpl w:val="C55E5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81AA0"/>
    <w:multiLevelType w:val="multilevel"/>
    <w:tmpl w:val="49D02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0301ED"/>
    <w:multiLevelType w:val="hybridMultilevel"/>
    <w:tmpl w:val="B2169516"/>
    <w:lvl w:ilvl="0" w:tplc="9B2688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58137C"/>
    <w:multiLevelType w:val="multilevel"/>
    <w:tmpl w:val="7674B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E0589A"/>
    <w:multiLevelType w:val="multilevel"/>
    <w:tmpl w:val="93ACC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FA16BD"/>
    <w:multiLevelType w:val="singleLevel"/>
    <w:tmpl w:val="4470E1F2"/>
    <w:lvl w:ilvl="0">
      <w:start w:val="1"/>
      <w:numFmt w:val="bullet"/>
      <w:pStyle w:val="listbulletdash2"/>
      <w:lvlText w:val="-"/>
      <w:lvlJc w:val="left"/>
      <w:pPr>
        <w:tabs>
          <w:tab w:val="num" w:pos="2160"/>
        </w:tabs>
        <w:ind w:left="2160" w:hanging="720"/>
      </w:pPr>
      <w:rPr>
        <w:rFonts w:ascii="Symbol" w:hAnsi="Symbol"/>
      </w:rPr>
    </w:lvl>
  </w:abstractNum>
  <w:abstractNum w:abstractNumId="8" w15:restartNumberingAfterBreak="0">
    <w:nsid w:val="238B54C1"/>
    <w:multiLevelType w:val="singleLevel"/>
    <w:tmpl w:val="ED8CBF52"/>
    <w:lvl w:ilvl="0">
      <w:start w:val="3"/>
      <w:numFmt w:val="decimal"/>
      <w:lvlText w:val="%1.1"/>
      <w:lvlJc w:val="left"/>
      <w:pPr>
        <w:ind w:left="1854" w:hanging="360"/>
      </w:pPr>
      <w:rPr>
        <w:rFonts w:hint="default"/>
        <w:u w:val="none"/>
      </w:rPr>
    </w:lvl>
  </w:abstractNum>
  <w:abstractNum w:abstractNumId="9" w15:restartNumberingAfterBreak="0">
    <w:nsid w:val="254632F8"/>
    <w:multiLevelType w:val="multilevel"/>
    <w:tmpl w:val="22FEAB94"/>
    <w:lvl w:ilvl="0">
      <w:start w:val="7"/>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5E16A86"/>
    <w:multiLevelType w:val="hybridMultilevel"/>
    <w:tmpl w:val="E9761A1A"/>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Wingdings"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Wingdings"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Wingdings" w:hint="default"/>
      </w:rPr>
    </w:lvl>
    <w:lvl w:ilvl="8" w:tplc="08090005" w:tentative="1">
      <w:start w:val="1"/>
      <w:numFmt w:val="bullet"/>
      <w:lvlText w:val=""/>
      <w:lvlJc w:val="left"/>
      <w:pPr>
        <w:ind w:left="6500" w:hanging="360"/>
      </w:pPr>
      <w:rPr>
        <w:rFonts w:ascii="Wingdings" w:hAnsi="Wingdings" w:hint="default"/>
      </w:rPr>
    </w:lvl>
  </w:abstractNum>
  <w:abstractNum w:abstractNumId="11" w15:restartNumberingAfterBreak="0">
    <w:nsid w:val="2AFA70FD"/>
    <w:multiLevelType w:val="multilevel"/>
    <w:tmpl w:val="ED7A1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A611A4"/>
    <w:multiLevelType w:val="multilevel"/>
    <w:tmpl w:val="05ACF40A"/>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C11DEF"/>
    <w:multiLevelType w:val="hybridMultilevel"/>
    <w:tmpl w:val="AD9CBCF6"/>
    <w:lvl w:ilvl="0" w:tplc="AB14BCE2">
      <w:start w:val="10"/>
      <w:numFmt w:val="decimal"/>
      <w:lvlText w:val="%1"/>
      <w:lvlJc w:val="left"/>
      <w:pPr>
        <w:tabs>
          <w:tab w:val="num" w:pos="1146"/>
        </w:tabs>
        <w:ind w:left="1146"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BA520A"/>
    <w:multiLevelType w:val="hybridMultilevel"/>
    <w:tmpl w:val="DFC644B8"/>
    <w:lvl w:ilvl="0" w:tplc="BAA847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4C3E10"/>
    <w:multiLevelType w:val="hybridMultilevel"/>
    <w:tmpl w:val="35427900"/>
    <w:lvl w:ilvl="0" w:tplc="C8C492F4">
      <w:start w:val="3"/>
      <w:numFmt w:val="decimal"/>
      <w:lvlText w:val="%1.2"/>
      <w:lvlJc w:val="left"/>
      <w:pPr>
        <w:ind w:left="1854"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805287"/>
    <w:multiLevelType w:val="hybridMultilevel"/>
    <w:tmpl w:val="A484F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B312C7"/>
    <w:multiLevelType w:val="hybridMultilevel"/>
    <w:tmpl w:val="BD0623F6"/>
    <w:lvl w:ilvl="0" w:tplc="6B04F64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AF1D70"/>
    <w:multiLevelType w:val="hybridMultilevel"/>
    <w:tmpl w:val="197AA220"/>
    <w:lvl w:ilvl="0" w:tplc="52F84AB2">
      <w:start w:val="4"/>
      <w:numFmt w:val="decimal"/>
      <w:lvlText w:val="%1.3"/>
      <w:lvlJc w:val="left"/>
      <w:pPr>
        <w:ind w:left="1778"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CF7E04"/>
    <w:multiLevelType w:val="multilevel"/>
    <w:tmpl w:val="05ACF40A"/>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7AE4BB6"/>
    <w:multiLevelType w:val="hybridMultilevel"/>
    <w:tmpl w:val="10AE362A"/>
    <w:lvl w:ilvl="0" w:tplc="BBC61168">
      <w:start w:val="9"/>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9A951A4"/>
    <w:multiLevelType w:val="hybridMultilevel"/>
    <w:tmpl w:val="B4386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4924D0"/>
    <w:multiLevelType w:val="hybridMultilevel"/>
    <w:tmpl w:val="09044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955050"/>
    <w:multiLevelType w:val="hybridMultilevel"/>
    <w:tmpl w:val="A420D50E"/>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4" w15:restartNumberingAfterBreak="0">
    <w:nsid w:val="52D15DA1"/>
    <w:multiLevelType w:val="hybridMultilevel"/>
    <w:tmpl w:val="709A4B64"/>
    <w:lvl w:ilvl="0" w:tplc="46489ADE">
      <w:start w:val="1"/>
      <w:numFmt w:val="bullet"/>
      <w:lvlText w:val=""/>
      <w:lvlJc w:val="left"/>
      <w:pPr>
        <w:tabs>
          <w:tab w:val="num" w:pos="643"/>
        </w:tabs>
        <w:ind w:left="643" w:hanging="28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F90E36"/>
    <w:multiLevelType w:val="hybridMultilevel"/>
    <w:tmpl w:val="9B34C8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544DD6"/>
    <w:multiLevelType w:val="hybridMultilevel"/>
    <w:tmpl w:val="9AD2E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E166D4"/>
    <w:multiLevelType w:val="hybridMultilevel"/>
    <w:tmpl w:val="233C1ACA"/>
    <w:lvl w:ilvl="0" w:tplc="2D08E162">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5693B87"/>
    <w:multiLevelType w:val="multilevel"/>
    <w:tmpl w:val="E4B6C4F8"/>
    <w:lvl w:ilvl="0">
      <w:start w:val="1"/>
      <w:numFmt w:val="decimal"/>
      <w:lvlText w:val="%1.0"/>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5F24670"/>
    <w:multiLevelType w:val="multilevel"/>
    <w:tmpl w:val="E9DE6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AD75B8"/>
    <w:multiLevelType w:val="hybridMultilevel"/>
    <w:tmpl w:val="DDEC3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0483224">
    <w:abstractNumId w:val="24"/>
  </w:num>
  <w:num w:numId="2" w16cid:durableId="2057854435">
    <w:abstractNumId w:val="0"/>
  </w:num>
  <w:num w:numId="3" w16cid:durableId="1386221380">
    <w:abstractNumId w:val="7"/>
  </w:num>
  <w:num w:numId="4" w16cid:durableId="1015496002">
    <w:abstractNumId w:val="20"/>
  </w:num>
  <w:num w:numId="5" w16cid:durableId="290551067">
    <w:abstractNumId w:val="30"/>
  </w:num>
  <w:num w:numId="6" w16cid:durableId="2043823476">
    <w:abstractNumId w:val="28"/>
  </w:num>
  <w:num w:numId="7" w16cid:durableId="187762438">
    <w:abstractNumId w:val="23"/>
  </w:num>
  <w:num w:numId="8" w16cid:durableId="1896353210">
    <w:abstractNumId w:val="8"/>
  </w:num>
  <w:num w:numId="9" w16cid:durableId="1166632160">
    <w:abstractNumId w:val="15"/>
  </w:num>
  <w:num w:numId="10" w16cid:durableId="653995945">
    <w:abstractNumId w:val="16"/>
  </w:num>
  <w:num w:numId="11" w16cid:durableId="853762610">
    <w:abstractNumId w:val="21"/>
  </w:num>
  <w:num w:numId="12" w16cid:durableId="89816074">
    <w:abstractNumId w:val="18"/>
  </w:num>
  <w:num w:numId="13" w16cid:durableId="1785807177">
    <w:abstractNumId w:val="25"/>
  </w:num>
  <w:num w:numId="14" w16cid:durableId="936672762">
    <w:abstractNumId w:val="12"/>
  </w:num>
  <w:num w:numId="15" w16cid:durableId="2025865653">
    <w:abstractNumId w:val="19"/>
  </w:num>
  <w:num w:numId="16" w16cid:durableId="1509170571">
    <w:abstractNumId w:val="9"/>
  </w:num>
  <w:num w:numId="17" w16cid:durableId="1064984700">
    <w:abstractNumId w:val="13"/>
  </w:num>
  <w:num w:numId="18" w16cid:durableId="308558413">
    <w:abstractNumId w:val="10"/>
  </w:num>
  <w:num w:numId="19" w16cid:durableId="1428231220">
    <w:abstractNumId w:val="22"/>
  </w:num>
  <w:num w:numId="20" w16cid:durableId="1625699599">
    <w:abstractNumId w:val="17"/>
  </w:num>
  <w:num w:numId="21" w16cid:durableId="1412585131">
    <w:abstractNumId w:val="5"/>
  </w:num>
  <w:num w:numId="22" w16cid:durableId="1909994903">
    <w:abstractNumId w:val="3"/>
  </w:num>
  <w:num w:numId="23" w16cid:durableId="1218660192">
    <w:abstractNumId w:val="1"/>
  </w:num>
  <w:num w:numId="24" w16cid:durableId="1291978980">
    <w:abstractNumId w:val="2"/>
  </w:num>
  <w:num w:numId="25" w16cid:durableId="359667682">
    <w:abstractNumId w:val="29"/>
  </w:num>
  <w:num w:numId="26" w16cid:durableId="919632048">
    <w:abstractNumId w:val="11"/>
  </w:num>
  <w:num w:numId="27" w16cid:durableId="1472166253">
    <w:abstractNumId w:val="6"/>
  </w:num>
  <w:num w:numId="28" w16cid:durableId="1721319789">
    <w:abstractNumId w:val="27"/>
  </w:num>
  <w:num w:numId="29" w16cid:durableId="2136364356">
    <w:abstractNumId w:val="26"/>
  </w:num>
  <w:num w:numId="30" w16cid:durableId="1956054080">
    <w:abstractNumId w:val="4"/>
  </w:num>
  <w:num w:numId="31" w16cid:durableId="21044473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0EA"/>
    <w:rsid w:val="000038CE"/>
    <w:rsid w:val="000045A5"/>
    <w:rsid w:val="00007493"/>
    <w:rsid w:val="0001401E"/>
    <w:rsid w:val="00016A5A"/>
    <w:rsid w:val="000238DA"/>
    <w:rsid w:val="000247E7"/>
    <w:rsid w:val="00032537"/>
    <w:rsid w:val="000335B3"/>
    <w:rsid w:val="000352D8"/>
    <w:rsid w:val="0003626A"/>
    <w:rsid w:val="00045F7B"/>
    <w:rsid w:val="00045FA1"/>
    <w:rsid w:val="000503A2"/>
    <w:rsid w:val="000514A2"/>
    <w:rsid w:val="000569C0"/>
    <w:rsid w:val="00056F48"/>
    <w:rsid w:val="00063CA5"/>
    <w:rsid w:val="00065C9A"/>
    <w:rsid w:val="00065F9E"/>
    <w:rsid w:val="000775E4"/>
    <w:rsid w:val="000815D2"/>
    <w:rsid w:val="00081832"/>
    <w:rsid w:val="000820B2"/>
    <w:rsid w:val="000845AF"/>
    <w:rsid w:val="00084D8D"/>
    <w:rsid w:val="0008600F"/>
    <w:rsid w:val="00086D94"/>
    <w:rsid w:val="0009158D"/>
    <w:rsid w:val="00091781"/>
    <w:rsid w:val="000974A5"/>
    <w:rsid w:val="000A0D0E"/>
    <w:rsid w:val="000A7D4D"/>
    <w:rsid w:val="000B3B63"/>
    <w:rsid w:val="000C06B1"/>
    <w:rsid w:val="000C5274"/>
    <w:rsid w:val="000C56FA"/>
    <w:rsid w:val="000C5FF8"/>
    <w:rsid w:val="000C7CB6"/>
    <w:rsid w:val="000D260B"/>
    <w:rsid w:val="000D428A"/>
    <w:rsid w:val="000E0E80"/>
    <w:rsid w:val="000E4AB6"/>
    <w:rsid w:val="000F1829"/>
    <w:rsid w:val="000F1F74"/>
    <w:rsid w:val="000F38FD"/>
    <w:rsid w:val="000F3F35"/>
    <w:rsid w:val="000F7264"/>
    <w:rsid w:val="001014F4"/>
    <w:rsid w:val="00102474"/>
    <w:rsid w:val="001030EA"/>
    <w:rsid w:val="00103A93"/>
    <w:rsid w:val="00107E88"/>
    <w:rsid w:val="00113EAA"/>
    <w:rsid w:val="00117CE8"/>
    <w:rsid w:val="00122020"/>
    <w:rsid w:val="001241A8"/>
    <w:rsid w:val="00124268"/>
    <w:rsid w:val="001335C5"/>
    <w:rsid w:val="00135C53"/>
    <w:rsid w:val="001373DC"/>
    <w:rsid w:val="001375AD"/>
    <w:rsid w:val="001377AD"/>
    <w:rsid w:val="001412D8"/>
    <w:rsid w:val="00143BEB"/>
    <w:rsid w:val="00151A62"/>
    <w:rsid w:val="0015329F"/>
    <w:rsid w:val="001554E7"/>
    <w:rsid w:val="0017050B"/>
    <w:rsid w:val="00170D72"/>
    <w:rsid w:val="00171336"/>
    <w:rsid w:val="0017211F"/>
    <w:rsid w:val="00181045"/>
    <w:rsid w:val="00183753"/>
    <w:rsid w:val="001847AA"/>
    <w:rsid w:val="00184CBA"/>
    <w:rsid w:val="00192984"/>
    <w:rsid w:val="00193739"/>
    <w:rsid w:val="001977A1"/>
    <w:rsid w:val="001A050D"/>
    <w:rsid w:val="001A57E4"/>
    <w:rsid w:val="001A7F47"/>
    <w:rsid w:val="001B0724"/>
    <w:rsid w:val="001B1AB3"/>
    <w:rsid w:val="001B25FE"/>
    <w:rsid w:val="001B65E2"/>
    <w:rsid w:val="001C65A6"/>
    <w:rsid w:val="001C6B48"/>
    <w:rsid w:val="001C6DD3"/>
    <w:rsid w:val="001D3BD4"/>
    <w:rsid w:val="001D502F"/>
    <w:rsid w:val="001D5BBA"/>
    <w:rsid w:val="001D7DF8"/>
    <w:rsid w:val="001E119E"/>
    <w:rsid w:val="001F61CD"/>
    <w:rsid w:val="00204A3A"/>
    <w:rsid w:val="002101F5"/>
    <w:rsid w:val="00211A58"/>
    <w:rsid w:val="002138CC"/>
    <w:rsid w:val="002202FB"/>
    <w:rsid w:val="00222A85"/>
    <w:rsid w:val="00222B8E"/>
    <w:rsid w:val="00225422"/>
    <w:rsid w:val="002255B3"/>
    <w:rsid w:val="00225A16"/>
    <w:rsid w:val="00230FB7"/>
    <w:rsid w:val="00236F00"/>
    <w:rsid w:val="002400C9"/>
    <w:rsid w:val="002429E3"/>
    <w:rsid w:val="00251DF5"/>
    <w:rsid w:val="0026247C"/>
    <w:rsid w:val="00262689"/>
    <w:rsid w:val="00277ED9"/>
    <w:rsid w:val="00283A0B"/>
    <w:rsid w:val="00285A58"/>
    <w:rsid w:val="00285A7A"/>
    <w:rsid w:val="0028785B"/>
    <w:rsid w:val="00290094"/>
    <w:rsid w:val="002901B7"/>
    <w:rsid w:val="00290FDE"/>
    <w:rsid w:val="002938CC"/>
    <w:rsid w:val="00295AD9"/>
    <w:rsid w:val="002967D8"/>
    <w:rsid w:val="002A10C3"/>
    <w:rsid w:val="002A3A25"/>
    <w:rsid w:val="002A4B5B"/>
    <w:rsid w:val="002A4C04"/>
    <w:rsid w:val="002A621F"/>
    <w:rsid w:val="002A6F14"/>
    <w:rsid w:val="002C2C04"/>
    <w:rsid w:val="002C4442"/>
    <w:rsid w:val="002C7591"/>
    <w:rsid w:val="002D3E4E"/>
    <w:rsid w:val="002D5F0D"/>
    <w:rsid w:val="002E446D"/>
    <w:rsid w:val="002E5388"/>
    <w:rsid w:val="002E6E20"/>
    <w:rsid w:val="002F49EE"/>
    <w:rsid w:val="002F5CF5"/>
    <w:rsid w:val="00304C7A"/>
    <w:rsid w:val="00305C59"/>
    <w:rsid w:val="00305FDB"/>
    <w:rsid w:val="00312C20"/>
    <w:rsid w:val="00315910"/>
    <w:rsid w:val="00315FCB"/>
    <w:rsid w:val="003230A7"/>
    <w:rsid w:val="003234AA"/>
    <w:rsid w:val="00324104"/>
    <w:rsid w:val="00326794"/>
    <w:rsid w:val="00326A2C"/>
    <w:rsid w:val="00350A4B"/>
    <w:rsid w:val="003531F9"/>
    <w:rsid w:val="003539ED"/>
    <w:rsid w:val="00361437"/>
    <w:rsid w:val="00374751"/>
    <w:rsid w:val="0038272E"/>
    <w:rsid w:val="00382F0C"/>
    <w:rsid w:val="003924F1"/>
    <w:rsid w:val="00393851"/>
    <w:rsid w:val="00397645"/>
    <w:rsid w:val="003B4834"/>
    <w:rsid w:val="003B4C96"/>
    <w:rsid w:val="003C3ADF"/>
    <w:rsid w:val="003C4038"/>
    <w:rsid w:val="003C5D0E"/>
    <w:rsid w:val="003C629F"/>
    <w:rsid w:val="003C78F2"/>
    <w:rsid w:val="003D0B7B"/>
    <w:rsid w:val="003D3CAC"/>
    <w:rsid w:val="003D5376"/>
    <w:rsid w:val="003E3554"/>
    <w:rsid w:val="003E6AAC"/>
    <w:rsid w:val="003E6FF3"/>
    <w:rsid w:val="003F55C8"/>
    <w:rsid w:val="00402940"/>
    <w:rsid w:val="00414128"/>
    <w:rsid w:val="00415E88"/>
    <w:rsid w:val="00416B6C"/>
    <w:rsid w:val="00416DD3"/>
    <w:rsid w:val="00431350"/>
    <w:rsid w:val="00435618"/>
    <w:rsid w:val="00435D20"/>
    <w:rsid w:val="00437FF2"/>
    <w:rsid w:val="00445106"/>
    <w:rsid w:val="00447697"/>
    <w:rsid w:val="0045633A"/>
    <w:rsid w:val="00464D1A"/>
    <w:rsid w:val="00465842"/>
    <w:rsid w:val="004678D7"/>
    <w:rsid w:val="00467DE9"/>
    <w:rsid w:val="004705F2"/>
    <w:rsid w:val="00470875"/>
    <w:rsid w:val="00470BC6"/>
    <w:rsid w:val="00473AD3"/>
    <w:rsid w:val="00491EC1"/>
    <w:rsid w:val="004A20B0"/>
    <w:rsid w:val="004B25BF"/>
    <w:rsid w:val="004B3C9E"/>
    <w:rsid w:val="004B4291"/>
    <w:rsid w:val="004C313A"/>
    <w:rsid w:val="004C32A9"/>
    <w:rsid w:val="004C3BE0"/>
    <w:rsid w:val="004C4C8A"/>
    <w:rsid w:val="004D4521"/>
    <w:rsid w:val="004D53A1"/>
    <w:rsid w:val="004D7743"/>
    <w:rsid w:val="004D7D50"/>
    <w:rsid w:val="004E31FE"/>
    <w:rsid w:val="004E3B37"/>
    <w:rsid w:val="004E40FA"/>
    <w:rsid w:val="004F05C3"/>
    <w:rsid w:val="004F52FB"/>
    <w:rsid w:val="004F6BE1"/>
    <w:rsid w:val="004F6E4F"/>
    <w:rsid w:val="00502DDE"/>
    <w:rsid w:val="005044D1"/>
    <w:rsid w:val="00505717"/>
    <w:rsid w:val="00507774"/>
    <w:rsid w:val="00507C89"/>
    <w:rsid w:val="00511E44"/>
    <w:rsid w:val="00513A8F"/>
    <w:rsid w:val="00514473"/>
    <w:rsid w:val="00516FF3"/>
    <w:rsid w:val="00517E46"/>
    <w:rsid w:val="005213A2"/>
    <w:rsid w:val="00521B08"/>
    <w:rsid w:val="0052271D"/>
    <w:rsid w:val="00524074"/>
    <w:rsid w:val="005263F5"/>
    <w:rsid w:val="005267DD"/>
    <w:rsid w:val="00530315"/>
    <w:rsid w:val="0053073B"/>
    <w:rsid w:val="00531731"/>
    <w:rsid w:val="005322E8"/>
    <w:rsid w:val="005340D2"/>
    <w:rsid w:val="00534B95"/>
    <w:rsid w:val="00534F80"/>
    <w:rsid w:val="00535374"/>
    <w:rsid w:val="0053723C"/>
    <w:rsid w:val="00537870"/>
    <w:rsid w:val="00540B58"/>
    <w:rsid w:val="005410EB"/>
    <w:rsid w:val="00542A49"/>
    <w:rsid w:val="00551178"/>
    <w:rsid w:val="00553E61"/>
    <w:rsid w:val="0055515F"/>
    <w:rsid w:val="0055553A"/>
    <w:rsid w:val="00556E51"/>
    <w:rsid w:val="00563EB1"/>
    <w:rsid w:val="00573A4B"/>
    <w:rsid w:val="00574BBE"/>
    <w:rsid w:val="005863AB"/>
    <w:rsid w:val="00587A7E"/>
    <w:rsid w:val="00596504"/>
    <w:rsid w:val="005A0730"/>
    <w:rsid w:val="005A3CF8"/>
    <w:rsid w:val="005A4394"/>
    <w:rsid w:val="005B24F8"/>
    <w:rsid w:val="005B3F13"/>
    <w:rsid w:val="005C2E34"/>
    <w:rsid w:val="005C62CE"/>
    <w:rsid w:val="005C78AD"/>
    <w:rsid w:val="005D0CB4"/>
    <w:rsid w:val="005D2428"/>
    <w:rsid w:val="005D27D9"/>
    <w:rsid w:val="005D4182"/>
    <w:rsid w:val="005D61D1"/>
    <w:rsid w:val="005D75A1"/>
    <w:rsid w:val="005E2530"/>
    <w:rsid w:val="005E7C44"/>
    <w:rsid w:val="005F02BC"/>
    <w:rsid w:val="005F1541"/>
    <w:rsid w:val="005F194C"/>
    <w:rsid w:val="005F1EAC"/>
    <w:rsid w:val="005F3D3C"/>
    <w:rsid w:val="005F5E60"/>
    <w:rsid w:val="005F621E"/>
    <w:rsid w:val="005F64CB"/>
    <w:rsid w:val="00601613"/>
    <w:rsid w:val="00602AA1"/>
    <w:rsid w:val="00610CE4"/>
    <w:rsid w:val="00616BDD"/>
    <w:rsid w:val="0061770B"/>
    <w:rsid w:val="006224EB"/>
    <w:rsid w:val="006310D1"/>
    <w:rsid w:val="00632C04"/>
    <w:rsid w:val="00640C31"/>
    <w:rsid w:val="006467B5"/>
    <w:rsid w:val="0065092A"/>
    <w:rsid w:val="00657E75"/>
    <w:rsid w:val="00661AA3"/>
    <w:rsid w:val="00661E15"/>
    <w:rsid w:val="006769BE"/>
    <w:rsid w:val="0068081E"/>
    <w:rsid w:val="006813F6"/>
    <w:rsid w:val="00683AC8"/>
    <w:rsid w:val="00692D8C"/>
    <w:rsid w:val="00693C80"/>
    <w:rsid w:val="00695635"/>
    <w:rsid w:val="006964D0"/>
    <w:rsid w:val="006A3C79"/>
    <w:rsid w:val="006A49D0"/>
    <w:rsid w:val="006B161E"/>
    <w:rsid w:val="006B6B96"/>
    <w:rsid w:val="006B6F39"/>
    <w:rsid w:val="006B6FC1"/>
    <w:rsid w:val="006C1027"/>
    <w:rsid w:val="006C2A96"/>
    <w:rsid w:val="006C6212"/>
    <w:rsid w:val="006C7CFA"/>
    <w:rsid w:val="006C7F83"/>
    <w:rsid w:val="006D26B9"/>
    <w:rsid w:val="006D4239"/>
    <w:rsid w:val="006D48F2"/>
    <w:rsid w:val="006E17E3"/>
    <w:rsid w:val="006E7C22"/>
    <w:rsid w:val="006F1333"/>
    <w:rsid w:val="006F18FD"/>
    <w:rsid w:val="006F27D8"/>
    <w:rsid w:val="006F2F16"/>
    <w:rsid w:val="006F5F31"/>
    <w:rsid w:val="00700384"/>
    <w:rsid w:val="00701771"/>
    <w:rsid w:val="00701C02"/>
    <w:rsid w:val="00702522"/>
    <w:rsid w:val="00713B06"/>
    <w:rsid w:val="00715660"/>
    <w:rsid w:val="00715C8C"/>
    <w:rsid w:val="00720B2C"/>
    <w:rsid w:val="00722EED"/>
    <w:rsid w:val="007253F6"/>
    <w:rsid w:val="00730999"/>
    <w:rsid w:val="00733F1B"/>
    <w:rsid w:val="00733FB7"/>
    <w:rsid w:val="00734074"/>
    <w:rsid w:val="007403A1"/>
    <w:rsid w:val="00746E92"/>
    <w:rsid w:val="007502A9"/>
    <w:rsid w:val="00752FEC"/>
    <w:rsid w:val="0075324D"/>
    <w:rsid w:val="007536F0"/>
    <w:rsid w:val="007541DC"/>
    <w:rsid w:val="00757FCB"/>
    <w:rsid w:val="0076155F"/>
    <w:rsid w:val="0076314E"/>
    <w:rsid w:val="007667F2"/>
    <w:rsid w:val="007704A4"/>
    <w:rsid w:val="00773610"/>
    <w:rsid w:val="007762EA"/>
    <w:rsid w:val="00776E82"/>
    <w:rsid w:val="00783562"/>
    <w:rsid w:val="0078380E"/>
    <w:rsid w:val="00786B21"/>
    <w:rsid w:val="00796CAA"/>
    <w:rsid w:val="00796EFE"/>
    <w:rsid w:val="00797199"/>
    <w:rsid w:val="007A213B"/>
    <w:rsid w:val="007A42A9"/>
    <w:rsid w:val="007A574C"/>
    <w:rsid w:val="007A7272"/>
    <w:rsid w:val="007B6AEB"/>
    <w:rsid w:val="007C1C11"/>
    <w:rsid w:val="007C1D74"/>
    <w:rsid w:val="007C3F47"/>
    <w:rsid w:val="007C7AFF"/>
    <w:rsid w:val="007D0149"/>
    <w:rsid w:val="007D6CA4"/>
    <w:rsid w:val="007E0465"/>
    <w:rsid w:val="007E7CD4"/>
    <w:rsid w:val="007F066E"/>
    <w:rsid w:val="007F6CB6"/>
    <w:rsid w:val="007F796C"/>
    <w:rsid w:val="00801405"/>
    <w:rsid w:val="00802531"/>
    <w:rsid w:val="00804E9A"/>
    <w:rsid w:val="00805454"/>
    <w:rsid w:val="00805A22"/>
    <w:rsid w:val="00807A13"/>
    <w:rsid w:val="008113AC"/>
    <w:rsid w:val="00814B3E"/>
    <w:rsid w:val="00816405"/>
    <w:rsid w:val="008170A5"/>
    <w:rsid w:val="00820180"/>
    <w:rsid w:val="0082063A"/>
    <w:rsid w:val="00827B94"/>
    <w:rsid w:val="00830FA7"/>
    <w:rsid w:val="00831ADE"/>
    <w:rsid w:val="00833A21"/>
    <w:rsid w:val="008352F1"/>
    <w:rsid w:val="00836C9C"/>
    <w:rsid w:val="00852484"/>
    <w:rsid w:val="00852932"/>
    <w:rsid w:val="0085641A"/>
    <w:rsid w:val="008569CA"/>
    <w:rsid w:val="00856DCE"/>
    <w:rsid w:val="00860D76"/>
    <w:rsid w:val="008613F4"/>
    <w:rsid w:val="00861D91"/>
    <w:rsid w:val="0086255F"/>
    <w:rsid w:val="00864818"/>
    <w:rsid w:val="008662D5"/>
    <w:rsid w:val="008665AE"/>
    <w:rsid w:val="00867622"/>
    <w:rsid w:val="00870E89"/>
    <w:rsid w:val="008739E8"/>
    <w:rsid w:val="00876CFA"/>
    <w:rsid w:val="00876DB0"/>
    <w:rsid w:val="008835B7"/>
    <w:rsid w:val="00891483"/>
    <w:rsid w:val="00891EF2"/>
    <w:rsid w:val="00893A6E"/>
    <w:rsid w:val="00895118"/>
    <w:rsid w:val="00895442"/>
    <w:rsid w:val="008A6AFF"/>
    <w:rsid w:val="008B4E0D"/>
    <w:rsid w:val="008B71F2"/>
    <w:rsid w:val="008B749D"/>
    <w:rsid w:val="008C7483"/>
    <w:rsid w:val="008D31FD"/>
    <w:rsid w:val="008F4CCA"/>
    <w:rsid w:val="009017A4"/>
    <w:rsid w:val="00902F25"/>
    <w:rsid w:val="00906016"/>
    <w:rsid w:val="00910861"/>
    <w:rsid w:val="00914391"/>
    <w:rsid w:val="00916332"/>
    <w:rsid w:val="0091647A"/>
    <w:rsid w:val="009167E0"/>
    <w:rsid w:val="009271CD"/>
    <w:rsid w:val="00930D84"/>
    <w:rsid w:val="009319E7"/>
    <w:rsid w:val="009468D6"/>
    <w:rsid w:val="00947C11"/>
    <w:rsid w:val="00955040"/>
    <w:rsid w:val="00955ACE"/>
    <w:rsid w:val="0096127F"/>
    <w:rsid w:val="00961A21"/>
    <w:rsid w:val="009661BE"/>
    <w:rsid w:val="00967F08"/>
    <w:rsid w:val="009701B6"/>
    <w:rsid w:val="00970C8F"/>
    <w:rsid w:val="00973B6E"/>
    <w:rsid w:val="00976F56"/>
    <w:rsid w:val="0097730F"/>
    <w:rsid w:val="0098302A"/>
    <w:rsid w:val="00984D1C"/>
    <w:rsid w:val="009A1C37"/>
    <w:rsid w:val="009A2E6B"/>
    <w:rsid w:val="009A655D"/>
    <w:rsid w:val="009A72AB"/>
    <w:rsid w:val="009B1D95"/>
    <w:rsid w:val="009C1FF0"/>
    <w:rsid w:val="009C3007"/>
    <w:rsid w:val="009C3F0D"/>
    <w:rsid w:val="009C4D1A"/>
    <w:rsid w:val="009C5E86"/>
    <w:rsid w:val="009C6C15"/>
    <w:rsid w:val="009D2FAC"/>
    <w:rsid w:val="009D3838"/>
    <w:rsid w:val="009D7A96"/>
    <w:rsid w:val="009E19D8"/>
    <w:rsid w:val="009E3A16"/>
    <w:rsid w:val="009E6AD0"/>
    <w:rsid w:val="009E7179"/>
    <w:rsid w:val="009F0ADF"/>
    <w:rsid w:val="009F1E4F"/>
    <w:rsid w:val="009F3170"/>
    <w:rsid w:val="009F36E5"/>
    <w:rsid w:val="009F567F"/>
    <w:rsid w:val="00A028E6"/>
    <w:rsid w:val="00A03AC1"/>
    <w:rsid w:val="00A056BB"/>
    <w:rsid w:val="00A1130B"/>
    <w:rsid w:val="00A124DE"/>
    <w:rsid w:val="00A12906"/>
    <w:rsid w:val="00A138A8"/>
    <w:rsid w:val="00A14D3F"/>
    <w:rsid w:val="00A15D6B"/>
    <w:rsid w:val="00A17154"/>
    <w:rsid w:val="00A20F8E"/>
    <w:rsid w:val="00A32DE7"/>
    <w:rsid w:val="00A34DC8"/>
    <w:rsid w:val="00A45AE2"/>
    <w:rsid w:val="00A46059"/>
    <w:rsid w:val="00A472F9"/>
    <w:rsid w:val="00A50B22"/>
    <w:rsid w:val="00A50E3B"/>
    <w:rsid w:val="00A51393"/>
    <w:rsid w:val="00A54178"/>
    <w:rsid w:val="00A55D3C"/>
    <w:rsid w:val="00A56E8C"/>
    <w:rsid w:val="00A61248"/>
    <w:rsid w:val="00A64DD9"/>
    <w:rsid w:val="00A66A28"/>
    <w:rsid w:val="00A67B00"/>
    <w:rsid w:val="00A71BC1"/>
    <w:rsid w:val="00A731DB"/>
    <w:rsid w:val="00A74085"/>
    <w:rsid w:val="00A742FA"/>
    <w:rsid w:val="00A74D19"/>
    <w:rsid w:val="00A85231"/>
    <w:rsid w:val="00A87939"/>
    <w:rsid w:val="00A90690"/>
    <w:rsid w:val="00A95B07"/>
    <w:rsid w:val="00A96BBC"/>
    <w:rsid w:val="00AA1B6A"/>
    <w:rsid w:val="00AA44F4"/>
    <w:rsid w:val="00AA47C4"/>
    <w:rsid w:val="00AA5F2A"/>
    <w:rsid w:val="00AC422E"/>
    <w:rsid w:val="00AC457D"/>
    <w:rsid w:val="00AD4677"/>
    <w:rsid w:val="00AD7DB0"/>
    <w:rsid w:val="00AD7FF6"/>
    <w:rsid w:val="00AE0FC4"/>
    <w:rsid w:val="00AE3AD4"/>
    <w:rsid w:val="00AE653C"/>
    <w:rsid w:val="00AE7B99"/>
    <w:rsid w:val="00AF2FD2"/>
    <w:rsid w:val="00AF7455"/>
    <w:rsid w:val="00B02F20"/>
    <w:rsid w:val="00B05EFF"/>
    <w:rsid w:val="00B10D02"/>
    <w:rsid w:val="00B130E3"/>
    <w:rsid w:val="00B201D8"/>
    <w:rsid w:val="00B208AE"/>
    <w:rsid w:val="00B219D8"/>
    <w:rsid w:val="00B27D4F"/>
    <w:rsid w:val="00B33028"/>
    <w:rsid w:val="00B41FDA"/>
    <w:rsid w:val="00B426F3"/>
    <w:rsid w:val="00B43C65"/>
    <w:rsid w:val="00B46FBA"/>
    <w:rsid w:val="00B47A3E"/>
    <w:rsid w:val="00B5082F"/>
    <w:rsid w:val="00B6230B"/>
    <w:rsid w:val="00B63A9E"/>
    <w:rsid w:val="00B63B7E"/>
    <w:rsid w:val="00B705A9"/>
    <w:rsid w:val="00B722D6"/>
    <w:rsid w:val="00B74397"/>
    <w:rsid w:val="00B826F7"/>
    <w:rsid w:val="00B840A6"/>
    <w:rsid w:val="00B844F5"/>
    <w:rsid w:val="00B854B8"/>
    <w:rsid w:val="00B85B40"/>
    <w:rsid w:val="00B862FC"/>
    <w:rsid w:val="00B8726E"/>
    <w:rsid w:val="00B90792"/>
    <w:rsid w:val="00B928BF"/>
    <w:rsid w:val="00B93459"/>
    <w:rsid w:val="00B94A96"/>
    <w:rsid w:val="00B95FC5"/>
    <w:rsid w:val="00B96EDD"/>
    <w:rsid w:val="00BA11DF"/>
    <w:rsid w:val="00BA299E"/>
    <w:rsid w:val="00BA6090"/>
    <w:rsid w:val="00BB0092"/>
    <w:rsid w:val="00BB02A1"/>
    <w:rsid w:val="00BB1505"/>
    <w:rsid w:val="00BC03A0"/>
    <w:rsid w:val="00BD1707"/>
    <w:rsid w:val="00BD3852"/>
    <w:rsid w:val="00BE002F"/>
    <w:rsid w:val="00BE27A0"/>
    <w:rsid w:val="00BF09AE"/>
    <w:rsid w:val="00BF0AC9"/>
    <w:rsid w:val="00BF3435"/>
    <w:rsid w:val="00C000ED"/>
    <w:rsid w:val="00C11B33"/>
    <w:rsid w:val="00C14E8E"/>
    <w:rsid w:val="00C26169"/>
    <w:rsid w:val="00C27AB6"/>
    <w:rsid w:val="00C409D7"/>
    <w:rsid w:val="00C40F1A"/>
    <w:rsid w:val="00C43166"/>
    <w:rsid w:val="00C45042"/>
    <w:rsid w:val="00C451F1"/>
    <w:rsid w:val="00C461C9"/>
    <w:rsid w:val="00C46ECF"/>
    <w:rsid w:val="00C50DDE"/>
    <w:rsid w:val="00C51A6D"/>
    <w:rsid w:val="00C55E86"/>
    <w:rsid w:val="00C55EFE"/>
    <w:rsid w:val="00C56B8B"/>
    <w:rsid w:val="00C6126F"/>
    <w:rsid w:val="00C70B4A"/>
    <w:rsid w:val="00C7474D"/>
    <w:rsid w:val="00C826B6"/>
    <w:rsid w:val="00C83DA3"/>
    <w:rsid w:val="00C83EA5"/>
    <w:rsid w:val="00C860A5"/>
    <w:rsid w:val="00C86120"/>
    <w:rsid w:val="00C944D8"/>
    <w:rsid w:val="00C94F92"/>
    <w:rsid w:val="00C95549"/>
    <w:rsid w:val="00C95B5A"/>
    <w:rsid w:val="00CA5E57"/>
    <w:rsid w:val="00CA68EA"/>
    <w:rsid w:val="00CA71C9"/>
    <w:rsid w:val="00CB0288"/>
    <w:rsid w:val="00CB4771"/>
    <w:rsid w:val="00CB7A8E"/>
    <w:rsid w:val="00CC2C07"/>
    <w:rsid w:val="00CC5A63"/>
    <w:rsid w:val="00CD056C"/>
    <w:rsid w:val="00CD38F0"/>
    <w:rsid w:val="00CD63E7"/>
    <w:rsid w:val="00CD767C"/>
    <w:rsid w:val="00CE14E4"/>
    <w:rsid w:val="00CE2F73"/>
    <w:rsid w:val="00CE4BD2"/>
    <w:rsid w:val="00CE5377"/>
    <w:rsid w:val="00CF44D1"/>
    <w:rsid w:val="00CF6004"/>
    <w:rsid w:val="00CF7568"/>
    <w:rsid w:val="00D00138"/>
    <w:rsid w:val="00D04187"/>
    <w:rsid w:val="00D050D1"/>
    <w:rsid w:val="00D118A1"/>
    <w:rsid w:val="00D119F4"/>
    <w:rsid w:val="00D2247F"/>
    <w:rsid w:val="00D332FA"/>
    <w:rsid w:val="00D355C7"/>
    <w:rsid w:val="00D36382"/>
    <w:rsid w:val="00D37EFB"/>
    <w:rsid w:val="00D44187"/>
    <w:rsid w:val="00D55829"/>
    <w:rsid w:val="00D56ED6"/>
    <w:rsid w:val="00D63046"/>
    <w:rsid w:val="00D630D2"/>
    <w:rsid w:val="00D65D2C"/>
    <w:rsid w:val="00D743D2"/>
    <w:rsid w:val="00D810DF"/>
    <w:rsid w:val="00D814EB"/>
    <w:rsid w:val="00D818AB"/>
    <w:rsid w:val="00D84697"/>
    <w:rsid w:val="00D85E05"/>
    <w:rsid w:val="00D90CF7"/>
    <w:rsid w:val="00D92D55"/>
    <w:rsid w:val="00DA5443"/>
    <w:rsid w:val="00DA6E2D"/>
    <w:rsid w:val="00DA7AD7"/>
    <w:rsid w:val="00DB4C50"/>
    <w:rsid w:val="00DB5886"/>
    <w:rsid w:val="00DB6184"/>
    <w:rsid w:val="00DB6476"/>
    <w:rsid w:val="00DC1426"/>
    <w:rsid w:val="00DC1BB4"/>
    <w:rsid w:val="00DC413D"/>
    <w:rsid w:val="00DC53B3"/>
    <w:rsid w:val="00DD2689"/>
    <w:rsid w:val="00DE2239"/>
    <w:rsid w:val="00DE5321"/>
    <w:rsid w:val="00DF3FE8"/>
    <w:rsid w:val="00DF6D99"/>
    <w:rsid w:val="00E0263D"/>
    <w:rsid w:val="00E1318F"/>
    <w:rsid w:val="00E13880"/>
    <w:rsid w:val="00E1669B"/>
    <w:rsid w:val="00E22F58"/>
    <w:rsid w:val="00E23D73"/>
    <w:rsid w:val="00E26E6B"/>
    <w:rsid w:val="00E30227"/>
    <w:rsid w:val="00E3297F"/>
    <w:rsid w:val="00E347F0"/>
    <w:rsid w:val="00E3484B"/>
    <w:rsid w:val="00E45FAA"/>
    <w:rsid w:val="00E47042"/>
    <w:rsid w:val="00E4765C"/>
    <w:rsid w:val="00E519EF"/>
    <w:rsid w:val="00E55A80"/>
    <w:rsid w:val="00E6127F"/>
    <w:rsid w:val="00E62E66"/>
    <w:rsid w:val="00E66793"/>
    <w:rsid w:val="00E71A98"/>
    <w:rsid w:val="00E71F96"/>
    <w:rsid w:val="00E81BC6"/>
    <w:rsid w:val="00E874C7"/>
    <w:rsid w:val="00E96CE5"/>
    <w:rsid w:val="00E9788A"/>
    <w:rsid w:val="00EA1AFA"/>
    <w:rsid w:val="00EA7C1C"/>
    <w:rsid w:val="00EB0C49"/>
    <w:rsid w:val="00EB6C89"/>
    <w:rsid w:val="00EC1E16"/>
    <w:rsid w:val="00ED0B8A"/>
    <w:rsid w:val="00ED1487"/>
    <w:rsid w:val="00ED656D"/>
    <w:rsid w:val="00EF1D86"/>
    <w:rsid w:val="00EF45BF"/>
    <w:rsid w:val="00EF48E2"/>
    <w:rsid w:val="00EF7034"/>
    <w:rsid w:val="00EF725F"/>
    <w:rsid w:val="00F01655"/>
    <w:rsid w:val="00F06EC5"/>
    <w:rsid w:val="00F10D89"/>
    <w:rsid w:val="00F10F85"/>
    <w:rsid w:val="00F15756"/>
    <w:rsid w:val="00F210CF"/>
    <w:rsid w:val="00F30020"/>
    <w:rsid w:val="00F30DA8"/>
    <w:rsid w:val="00F3248D"/>
    <w:rsid w:val="00F42AC3"/>
    <w:rsid w:val="00F431A9"/>
    <w:rsid w:val="00F5188A"/>
    <w:rsid w:val="00F52B1D"/>
    <w:rsid w:val="00F60FE4"/>
    <w:rsid w:val="00F62885"/>
    <w:rsid w:val="00F62A72"/>
    <w:rsid w:val="00F643F3"/>
    <w:rsid w:val="00F67116"/>
    <w:rsid w:val="00F70B6C"/>
    <w:rsid w:val="00F712C8"/>
    <w:rsid w:val="00F75437"/>
    <w:rsid w:val="00F80513"/>
    <w:rsid w:val="00F806C2"/>
    <w:rsid w:val="00F85B87"/>
    <w:rsid w:val="00F91017"/>
    <w:rsid w:val="00F9183B"/>
    <w:rsid w:val="00F95153"/>
    <w:rsid w:val="00F96EBD"/>
    <w:rsid w:val="00F96EC4"/>
    <w:rsid w:val="00F979A9"/>
    <w:rsid w:val="00FA7A0A"/>
    <w:rsid w:val="00FB0E60"/>
    <w:rsid w:val="00FB2768"/>
    <w:rsid w:val="00FB7975"/>
    <w:rsid w:val="00FB7CAC"/>
    <w:rsid w:val="00FC12BA"/>
    <w:rsid w:val="00FC2C9B"/>
    <w:rsid w:val="00FC59F6"/>
    <w:rsid w:val="00FC6431"/>
    <w:rsid w:val="00FC6DB5"/>
    <w:rsid w:val="00FC74FC"/>
    <w:rsid w:val="00FD272A"/>
    <w:rsid w:val="00FD36D4"/>
    <w:rsid w:val="00FD6F82"/>
    <w:rsid w:val="00FE16C1"/>
    <w:rsid w:val="00FE42A2"/>
    <w:rsid w:val="00FE6402"/>
    <w:rsid w:val="00FE71AA"/>
    <w:rsid w:val="00FF5005"/>
    <w:rsid w:val="00FF51B2"/>
    <w:rsid w:val="00FF797D"/>
    <w:rsid w:val="19F7AE6F"/>
    <w:rsid w:val="367624A3"/>
    <w:rsid w:val="52EF18AA"/>
    <w:rsid w:val="551DFF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31E59"/>
  <w15:docId w15:val="{D391D36A-2006-4A00-87E8-211565015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6DB0"/>
    <w:pPr>
      <w:keepNext/>
      <w:keepLines/>
      <w:spacing w:before="480" w:after="0"/>
      <w:outlineLvl w:val="0"/>
    </w:pPr>
    <w:rPr>
      <w:rFonts w:asciiTheme="majorHAnsi" w:eastAsiaTheme="majorEastAsia" w:hAnsiTheme="majorHAnsi" w:cstheme="majorBidi"/>
      <w:b/>
      <w:bCs/>
      <w:color w:val="21003E" w:themeColor="accent1" w:themeShade="BF"/>
      <w:sz w:val="28"/>
      <w:szCs w:val="28"/>
    </w:rPr>
  </w:style>
  <w:style w:type="paragraph" w:styleId="Heading2">
    <w:name w:val="heading 2"/>
    <w:basedOn w:val="Normal"/>
    <w:next w:val="Normal"/>
    <w:link w:val="Heading2Char"/>
    <w:uiPriority w:val="9"/>
    <w:unhideWhenUsed/>
    <w:qFormat/>
    <w:rsid w:val="00AC457D"/>
    <w:pPr>
      <w:keepNext/>
      <w:keepLines/>
      <w:spacing w:before="200" w:after="0"/>
      <w:outlineLvl w:val="1"/>
    </w:pPr>
    <w:rPr>
      <w:rFonts w:asciiTheme="majorHAnsi" w:eastAsiaTheme="majorEastAsia" w:hAnsiTheme="majorHAnsi" w:cstheme="majorBidi"/>
      <w:b/>
      <w:bCs/>
      <w:color w:val="2D0054" w:themeColor="accent1"/>
      <w:sz w:val="26"/>
      <w:szCs w:val="26"/>
    </w:rPr>
  </w:style>
  <w:style w:type="paragraph" w:styleId="Heading3">
    <w:name w:val="heading 3"/>
    <w:basedOn w:val="Normal"/>
    <w:next w:val="Normal"/>
    <w:link w:val="Heading3Char"/>
    <w:uiPriority w:val="9"/>
    <w:unhideWhenUsed/>
    <w:qFormat/>
    <w:rsid w:val="0017211F"/>
    <w:pPr>
      <w:keepNext/>
      <w:keepLines/>
      <w:spacing w:before="40" w:after="0"/>
      <w:outlineLvl w:val="2"/>
    </w:pPr>
    <w:rPr>
      <w:rFonts w:asciiTheme="majorHAnsi" w:eastAsiaTheme="majorEastAsia" w:hAnsiTheme="majorHAnsi" w:cstheme="majorBidi"/>
      <w:color w:val="160029" w:themeColor="accent1" w:themeShade="7F"/>
      <w:sz w:val="24"/>
      <w:szCs w:val="24"/>
    </w:rPr>
  </w:style>
  <w:style w:type="paragraph" w:styleId="Heading4">
    <w:name w:val="heading 4"/>
    <w:basedOn w:val="Normal"/>
    <w:next w:val="Normal"/>
    <w:link w:val="Heading4Char"/>
    <w:uiPriority w:val="9"/>
    <w:unhideWhenUsed/>
    <w:qFormat/>
    <w:rsid w:val="00831ADE"/>
    <w:pPr>
      <w:keepNext/>
      <w:keepLines/>
      <w:spacing w:before="40" w:after="0"/>
      <w:outlineLvl w:val="3"/>
    </w:pPr>
    <w:rPr>
      <w:rFonts w:asciiTheme="majorHAnsi" w:eastAsiaTheme="majorEastAsia" w:hAnsiTheme="majorHAnsi" w:cstheme="majorBidi"/>
      <w:i/>
      <w:iCs/>
      <w:color w:val="21003E" w:themeColor="accent1" w:themeShade="BF"/>
    </w:rPr>
  </w:style>
  <w:style w:type="paragraph" w:styleId="Heading5">
    <w:name w:val="heading 5"/>
    <w:basedOn w:val="Normal"/>
    <w:next w:val="Normal"/>
    <w:link w:val="Heading5Char"/>
    <w:uiPriority w:val="9"/>
    <w:unhideWhenUsed/>
    <w:qFormat/>
    <w:rsid w:val="00831ADE"/>
    <w:pPr>
      <w:keepNext/>
      <w:keepLines/>
      <w:spacing w:before="40" w:after="0"/>
      <w:outlineLvl w:val="4"/>
    </w:pPr>
    <w:rPr>
      <w:rFonts w:asciiTheme="majorHAnsi" w:eastAsiaTheme="majorEastAsia" w:hAnsiTheme="majorHAnsi" w:cstheme="majorBidi"/>
      <w:color w:val="21003E" w:themeColor="accent1" w:themeShade="BF"/>
    </w:rPr>
  </w:style>
  <w:style w:type="paragraph" w:styleId="Heading8">
    <w:name w:val="heading 8"/>
    <w:basedOn w:val="Normal"/>
    <w:next w:val="Normal"/>
    <w:link w:val="Heading8Char"/>
    <w:uiPriority w:val="9"/>
    <w:semiHidden/>
    <w:unhideWhenUsed/>
    <w:qFormat/>
    <w:rsid w:val="00AC457D"/>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30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0EA"/>
  </w:style>
  <w:style w:type="paragraph" w:styleId="Footer">
    <w:name w:val="footer"/>
    <w:basedOn w:val="Normal"/>
    <w:link w:val="FooterChar"/>
    <w:uiPriority w:val="99"/>
    <w:unhideWhenUsed/>
    <w:rsid w:val="001030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0EA"/>
  </w:style>
  <w:style w:type="paragraph" w:styleId="BalloonText">
    <w:name w:val="Balloon Text"/>
    <w:basedOn w:val="Normal"/>
    <w:link w:val="BalloonTextChar"/>
    <w:uiPriority w:val="99"/>
    <w:semiHidden/>
    <w:unhideWhenUsed/>
    <w:rsid w:val="00103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0EA"/>
    <w:rPr>
      <w:rFonts w:ascii="Tahoma" w:hAnsi="Tahoma" w:cs="Tahoma"/>
      <w:sz w:val="16"/>
      <w:szCs w:val="16"/>
    </w:rPr>
  </w:style>
  <w:style w:type="table" w:styleId="TableGrid">
    <w:name w:val="Table Grid"/>
    <w:basedOn w:val="TableNormal"/>
    <w:uiPriority w:val="59"/>
    <w:rsid w:val="00961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96127F"/>
    <w:pPr>
      <w:spacing w:after="0" w:line="240" w:lineRule="auto"/>
    </w:pPr>
    <w:tblPr>
      <w:tblStyleRowBandSize w:val="1"/>
      <w:tblStyleColBandSize w:val="1"/>
      <w:tblBorders>
        <w:top w:val="single" w:sz="8" w:space="0" w:color="00CC00" w:themeColor="accent3"/>
        <w:left w:val="single" w:sz="8" w:space="0" w:color="00CC00" w:themeColor="accent3"/>
        <w:bottom w:val="single" w:sz="8" w:space="0" w:color="00CC00" w:themeColor="accent3"/>
        <w:right w:val="single" w:sz="8" w:space="0" w:color="00CC00" w:themeColor="accent3"/>
      </w:tblBorders>
    </w:tblPr>
    <w:tblStylePr w:type="firstRow">
      <w:pPr>
        <w:spacing w:before="0" w:after="0" w:line="240" w:lineRule="auto"/>
      </w:pPr>
      <w:rPr>
        <w:b/>
        <w:bCs/>
        <w:color w:val="FFFFFF" w:themeColor="background1"/>
      </w:rPr>
      <w:tblPr/>
      <w:tcPr>
        <w:shd w:val="clear" w:color="auto" w:fill="00CC00" w:themeFill="accent3"/>
      </w:tcPr>
    </w:tblStylePr>
    <w:tblStylePr w:type="lastRow">
      <w:pPr>
        <w:spacing w:before="0" w:after="0" w:line="240" w:lineRule="auto"/>
      </w:pPr>
      <w:rPr>
        <w:b/>
        <w:bCs/>
      </w:rPr>
      <w:tblPr/>
      <w:tcPr>
        <w:tcBorders>
          <w:top w:val="double" w:sz="6" w:space="0" w:color="00CC00" w:themeColor="accent3"/>
          <w:left w:val="single" w:sz="8" w:space="0" w:color="00CC00" w:themeColor="accent3"/>
          <w:bottom w:val="single" w:sz="8" w:space="0" w:color="00CC00" w:themeColor="accent3"/>
          <w:right w:val="single" w:sz="8" w:space="0" w:color="00CC00" w:themeColor="accent3"/>
        </w:tcBorders>
      </w:tcPr>
    </w:tblStylePr>
    <w:tblStylePr w:type="firstCol">
      <w:rPr>
        <w:b/>
        <w:bCs/>
      </w:rPr>
    </w:tblStylePr>
    <w:tblStylePr w:type="lastCol">
      <w:rPr>
        <w:b/>
        <w:bCs/>
      </w:rPr>
    </w:tblStylePr>
    <w:tblStylePr w:type="band1Vert">
      <w:tblPr/>
      <w:tcPr>
        <w:tcBorders>
          <w:top w:val="single" w:sz="8" w:space="0" w:color="00CC00" w:themeColor="accent3"/>
          <w:left w:val="single" w:sz="8" w:space="0" w:color="00CC00" w:themeColor="accent3"/>
          <w:bottom w:val="single" w:sz="8" w:space="0" w:color="00CC00" w:themeColor="accent3"/>
          <w:right w:val="single" w:sz="8" w:space="0" w:color="00CC00" w:themeColor="accent3"/>
        </w:tcBorders>
      </w:tcPr>
    </w:tblStylePr>
    <w:tblStylePr w:type="band1Horz">
      <w:tblPr/>
      <w:tcPr>
        <w:tcBorders>
          <w:top w:val="single" w:sz="8" w:space="0" w:color="00CC00" w:themeColor="accent3"/>
          <w:left w:val="single" w:sz="8" w:space="0" w:color="00CC00" w:themeColor="accent3"/>
          <w:bottom w:val="single" w:sz="8" w:space="0" w:color="00CC00" w:themeColor="accent3"/>
          <w:right w:val="single" w:sz="8" w:space="0" w:color="00CC00" w:themeColor="accent3"/>
        </w:tcBorders>
      </w:tcPr>
    </w:tblStylePr>
  </w:style>
  <w:style w:type="character" w:customStyle="1" w:styleId="Heading1Char">
    <w:name w:val="Heading 1 Char"/>
    <w:basedOn w:val="DefaultParagraphFont"/>
    <w:link w:val="Heading1"/>
    <w:uiPriority w:val="9"/>
    <w:rsid w:val="00876DB0"/>
    <w:rPr>
      <w:rFonts w:asciiTheme="majorHAnsi" w:eastAsiaTheme="majorEastAsia" w:hAnsiTheme="majorHAnsi" w:cstheme="majorBidi"/>
      <w:b/>
      <w:bCs/>
      <w:color w:val="21003E" w:themeColor="accent1" w:themeShade="BF"/>
      <w:sz w:val="28"/>
      <w:szCs w:val="28"/>
    </w:rPr>
  </w:style>
  <w:style w:type="paragraph" w:styleId="TOCHeading">
    <w:name w:val="TOC Heading"/>
    <w:basedOn w:val="Heading1"/>
    <w:next w:val="Normal"/>
    <w:uiPriority w:val="39"/>
    <w:semiHidden/>
    <w:unhideWhenUsed/>
    <w:qFormat/>
    <w:rsid w:val="00876DB0"/>
    <w:pPr>
      <w:outlineLvl w:val="9"/>
    </w:pPr>
    <w:rPr>
      <w:lang w:val="en-US" w:eastAsia="ja-JP"/>
    </w:rPr>
  </w:style>
  <w:style w:type="paragraph" w:styleId="TOC1">
    <w:name w:val="toc 1"/>
    <w:basedOn w:val="Normal"/>
    <w:next w:val="Normal"/>
    <w:autoRedefine/>
    <w:uiPriority w:val="39"/>
    <w:unhideWhenUsed/>
    <w:rsid w:val="00E66793"/>
    <w:pPr>
      <w:tabs>
        <w:tab w:val="left" w:pos="660"/>
        <w:tab w:val="right" w:leader="dot" w:pos="9736"/>
      </w:tabs>
      <w:spacing w:after="100"/>
    </w:pPr>
  </w:style>
  <w:style w:type="character" w:styleId="Hyperlink">
    <w:name w:val="Hyperlink"/>
    <w:basedOn w:val="DefaultParagraphFont"/>
    <w:uiPriority w:val="99"/>
    <w:unhideWhenUsed/>
    <w:rsid w:val="00A731DB"/>
    <w:rPr>
      <w:color w:val="0070C0" w:themeColor="hyperlink"/>
      <w:u w:val="single"/>
    </w:rPr>
  </w:style>
  <w:style w:type="table" w:styleId="LightList-Accent1">
    <w:name w:val="Light List Accent 1"/>
    <w:basedOn w:val="TableNormal"/>
    <w:uiPriority w:val="61"/>
    <w:rsid w:val="00A731DB"/>
    <w:pPr>
      <w:spacing w:after="0" w:line="240" w:lineRule="auto"/>
    </w:pPr>
    <w:tblPr>
      <w:tblStyleRowBandSize w:val="1"/>
      <w:tblStyleColBandSize w:val="1"/>
      <w:tblBorders>
        <w:top w:val="single" w:sz="8" w:space="0" w:color="2D0054" w:themeColor="accent1"/>
        <w:left w:val="single" w:sz="8" w:space="0" w:color="2D0054" w:themeColor="accent1"/>
        <w:bottom w:val="single" w:sz="8" w:space="0" w:color="2D0054" w:themeColor="accent1"/>
        <w:right w:val="single" w:sz="8" w:space="0" w:color="2D0054" w:themeColor="accent1"/>
      </w:tblBorders>
    </w:tblPr>
    <w:tblStylePr w:type="firstRow">
      <w:pPr>
        <w:spacing w:before="0" w:after="0" w:line="240" w:lineRule="auto"/>
      </w:pPr>
      <w:rPr>
        <w:b/>
        <w:bCs/>
        <w:color w:val="FFFFFF" w:themeColor="background1"/>
      </w:rPr>
      <w:tblPr/>
      <w:tcPr>
        <w:shd w:val="clear" w:color="auto" w:fill="2D0054" w:themeFill="accent1"/>
      </w:tcPr>
    </w:tblStylePr>
    <w:tblStylePr w:type="lastRow">
      <w:pPr>
        <w:spacing w:before="0" w:after="0" w:line="240" w:lineRule="auto"/>
      </w:pPr>
      <w:rPr>
        <w:b/>
        <w:bCs/>
      </w:rPr>
      <w:tblPr/>
      <w:tcPr>
        <w:tcBorders>
          <w:top w:val="double" w:sz="6" w:space="0" w:color="2D0054" w:themeColor="accent1"/>
          <w:left w:val="single" w:sz="8" w:space="0" w:color="2D0054" w:themeColor="accent1"/>
          <w:bottom w:val="single" w:sz="8" w:space="0" w:color="2D0054" w:themeColor="accent1"/>
          <w:right w:val="single" w:sz="8" w:space="0" w:color="2D0054" w:themeColor="accent1"/>
        </w:tcBorders>
      </w:tcPr>
    </w:tblStylePr>
    <w:tblStylePr w:type="firstCol">
      <w:rPr>
        <w:b/>
        <w:bCs/>
      </w:rPr>
    </w:tblStylePr>
    <w:tblStylePr w:type="lastCol">
      <w:rPr>
        <w:b/>
        <w:bCs/>
      </w:rPr>
    </w:tblStylePr>
    <w:tblStylePr w:type="band1Vert">
      <w:tblPr/>
      <w:tcPr>
        <w:tcBorders>
          <w:top w:val="single" w:sz="8" w:space="0" w:color="2D0054" w:themeColor="accent1"/>
          <w:left w:val="single" w:sz="8" w:space="0" w:color="2D0054" w:themeColor="accent1"/>
          <w:bottom w:val="single" w:sz="8" w:space="0" w:color="2D0054" w:themeColor="accent1"/>
          <w:right w:val="single" w:sz="8" w:space="0" w:color="2D0054" w:themeColor="accent1"/>
        </w:tcBorders>
      </w:tcPr>
    </w:tblStylePr>
    <w:tblStylePr w:type="band1Horz">
      <w:tblPr/>
      <w:tcPr>
        <w:tcBorders>
          <w:top w:val="single" w:sz="8" w:space="0" w:color="2D0054" w:themeColor="accent1"/>
          <w:left w:val="single" w:sz="8" w:space="0" w:color="2D0054" w:themeColor="accent1"/>
          <w:bottom w:val="single" w:sz="8" w:space="0" w:color="2D0054" w:themeColor="accent1"/>
          <w:right w:val="single" w:sz="8" w:space="0" w:color="2D0054" w:themeColor="accent1"/>
        </w:tcBorders>
      </w:tcPr>
    </w:tblStylePr>
  </w:style>
  <w:style w:type="paragraph" w:styleId="NormalWeb">
    <w:name w:val="Normal (Web)"/>
    <w:basedOn w:val="Normal"/>
    <w:uiPriority w:val="99"/>
    <w:semiHidden/>
    <w:unhideWhenUsed/>
    <w:rsid w:val="00661A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uiPriority w:val="9"/>
    <w:semiHidden/>
    <w:rsid w:val="00AC457D"/>
    <w:rPr>
      <w:rFonts w:asciiTheme="majorHAnsi" w:eastAsiaTheme="majorEastAsia" w:hAnsiTheme="majorHAnsi" w:cstheme="majorBidi"/>
      <w:color w:val="404040" w:themeColor="text1" w:themeTint="BF"/>
      <w:sz w:val="20"/>
      <w:szCs w:val="20"/>
    </w:rPr>
  </w:style>
  <w:style w:type="character" w:customStyle="1" w:styleId="Heading2Char">
    <w:name w:val="Heading 2 Char"/>
    <w:basedOn w:val="DefaultParagraphFont"/>
    <w:link w:val="Heading2"/>
    <w:uiPriority w:val="9"/>
    <w:rsid w:val="00AC457D"/>
    <w:rPr>
      <w:rFonts w:asciiTheme="majorHAnsi" w:eastAsiaTheme="majorEastAsia" w:hAnsiTheme="majorHAnsi" w:cstheme="majorBidi"/>
      <w:b/>
      <w:bCs/>
      <w:color w:val="2D0054" w:themeColor="accent1"/>
      <w:sz w:val="26"/>
      <w:szCs w:val="26"/>
    </w:rPr>
  </w:style>
  <w:style w:type="paragraph" w:customStyle="1" w:styleId="listbulletround1">
    <w:name w:val="listbulletround1"/>
    <w:basedOn w:val="Normal"/>
    <w:rsid w:val="00AC457D"/>
    <w:pPr>
      <w:numPr>
        <w:numId w:val="2"/>
      </w:numPr>
      <w:spacing w:before="120" w:after="120" w:line="240" w:lineRule="auto"/>
    </w:pPr>
    <w:rPr>
      <w:rFonts w:ascii="Arial" w:eastAsia="Times New Roman" w:hAnsi="Arial" w:cs="Times New Roman"/>
      <w:color w:val="000000"/>
      <w:sz w:val="20"/>
      <w:szCs w:val="20"/>
    </w:rPr>
  </w:style>
  <w:style w:type="paragraph" w:customStyle="1" w:styleId="listbulletdash2">
    <w:name w:val="listbulletdash2"/>
    <w:basedOn w:val="Normal"/>
    <w:rsid w:val="00AC457D"/>
    <w:pPr>
      <w:numPr>
        <w:numId w:val="3"/>
      </w:numPr>
      <w:autoSpaceDE w:val="0"/>
      <w:autoSpaceDN w:val="0"/>
      <w:spacing w:before="120" w:after="120" w:line="240" w:lineRule="auto"/>
    </w:pPr>
    <w:rPr>
      <w:rFonts w:ascii="Arial" w:eastAsia="Times New Roman" w:hAnsi="Arial" w:cs="Arial"/>
      <w:color w:val="000000"/>
      <w:sz w:val="20"/>
      <w:szCs w:val="20"/>
    </w:rPr>
  </w:style>
  <w:style w:type="character" w:styleId="IntenseEmphasis">
    <w:name w:val="Intense Emphasis"/>
    <w:basedOn w:val="DefaultParagraphFont"/>
    <w:uiPriority w:val="21"/>
    <w:qFormat/>
    <w:rsid w:val="00225422"/>
    <w:rPr>
      <w:b/>
      <w:bCs/>
      <w:i/>
      <w:iCs/>
      <w:color w:val="2D0054" w:themeColor="accent1"/>
    </w:rPr>
  </w:style>
  <w:style w:type="paragraph" w:styleId="ListParagraph">
    <w:name w:val="List Paragraph"/>
    <w:basedOn w:val="Normal"/>
    <w:uiPriority w:val="34"/>
    <w:qFormat/>
    <w:rsid w:val="00225422"/>
    <w:pPr>
      <w:ind w:left="720"/>
      <w:contextualSpacing/>
    </w:pPr>
  </w:style>
  <w:style w:type="character" w:customStyle="1" w:styleId="Heading3Char">
    <w:name w:val="Heading 3 Char"/>
    <w:basedOn w:val="DefaultParagraphFont"/>
    <w:link w:val="Heading3"/>
    <w:uiPriority w:val="9"/>
    <w:rsid w:val="0017211F"/>
    <w:rPr>
      <w:rFonts w:asciiTheme="majorHAnsi" w:eastAsiaTheme="majorEastAsia" w:hAnsiTheme="majorHAnsi" w:cstheme="majorBidi"/>
      <w:color w:val="160029" w:themeColor="accent1" w:themeShade="7F"/>
      <w:sz w:val="24"/>
      <w:szCs w:val="24"/>
    </w:rPr>
  </w:style>
  <w:style w:type="paragraph" w:styleId="TOC3">
    <w:name w:val="toc 3"/>
    <w:basedOn w:val="Normal"/>
    <w:next w:val="Normal"/>
    <w:autoRedefine/>
    <w:uiPriority w:val="39"/>
    <w:unhideWhenUsed/>
    <w:rsid w:val="00465842"/>
    <w:pPr>
      <w:spacing w:after="100"/>
      <w:ind w:left="440"/>
    </w:pPr>
  </w:style>
  <w:style w:type="paragraph" w:styleId="NoSpacing">
    <w:name w:val="No Spacing"/>
    <w:uiPriority w:val="1"/>
    <w:qFormat/>
    <w:rsid w:val="006F5F31"/>
    <w:pPr>
      <w:spacing w:after="0" w:line="240" w:lineRule="auto"/>
    </w:pPr>
  </w:style>
  <w:style w:type="character" w:customStyle="1" w:styleId="Heading4Char">
    <w:name w:val="Heading 4 Char"/>
    <w:basedOn w:val="DefaultParagraphFont"/>
    <w:link w:val="Heading4"/>
    <w:uiPriority w:val="9"/>
    <w:rsid w:val="00831ADE"/>
    <w:rPr>
      <w:rFonts w:asciiTheme="majorHAnsi" w:eastAsiaTheme="majorEastAsia" w:hAnsiTheme="majorHAnsi" w:cstheme="majorBidi"/>
      <w:i/>
      <w:iCs/>
      <w:color w:val="21003E" w:themeColor="accent1" w:themeShade="BF"/>
    </w:rPr>
  </w:style>
  <w:style w:type="character" w:customStyle="1" w:styleId="Heading5Char">
    <w:name w:val="Heading 5 Char"/>
    <w:basedOn w:val="DefaultParagraphFont"/>
    <w:link w:val="Heading5"/>
    <w:uiPriority w:val="9"/>
    <w:rsid w:val="00831ADE"/>
    <w:rPr>
      <w:rFonts w:asciiTheme="majorHAnsi" w:eastAsiaTheme="majorEastAsia" w:hAnsiTheme="majorHAnsi" w:cstheme="majorBidi"/>
      <w:color w:val="21003E" w:themeColor="accent1" w:themeShade="BF"/>
    </w:rPr>
  </w:style>
  <w:style w:type="paragraph" w:styleId="Revision">
    <w:name w:val="Revision"/>
    <w:hidden/>
    <w:uiPriority w:val="99"/>
    <w:semiHidden/>
    <w:rsid w:val="001377AD"/>
    <w:pPr>
      <w:spacing w:after="0" w:line="240" w:lineRule="auto"/>
    </w:pPr>
  </w:style>
  <w:style w:type="character" w:customStyle="1" w:styleId="wacimagecontainer">
    <w:name w:val="wacimagecontainer"/>
    <w:basedOn w:val="DefaultParagraphFont"/>
    <w:rsid w:val="006B6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135209">
      <w:bodyDiv w:val="1"/>
      <w:marLeft w:val="0"/>
      <w:marRight w:val="0"/>
      <w:marTop w:val="0"/>
      <w:marBottom w:val="0"/>
      <w:divBdr>
        <w:top w:val="none" w:sz="0" w:space="0" w:color="auto"/>
        <w:left w:val="none" w:sz="0" w:space="0" w:color="auto"/>
        <w:bottom w:val="none" w:sz="0" w:space="0" w:color="auto"/>
        <w:right w:val="none" w:sz="0" w:space="0" w:color="auto"/>
      </w:divBdr>
    </w:div>
    <w:div w:id="1184980030">
      <w:bodyDiv w:val="1"/>
      <w:marLeft w:val="0"/>
      <w:marRight w:val="0"/>
      <w:marTop w:val="0"/>
      <w:marBottom w:val="0"/>
      <w:divBdr>
        <w:top w:val="none" w:sz="0" w:space="0" w:color="auto"/>
        <w:left w:val="none" w:sz="0" w:space="0" w:color="auto"/>
        <w:bottom w:val="none" w:sz="0" w:space="0" w:color="auto"/>
        <w:right w:val="none" w:sz="0" w:space="0" w:color="auto"/>
      </w:divBdr>
    </w:div>
    <w:div w:id="1209803607">
      <w:bodyDiv w:val="1"/>
      <w:marLeft w:val="0"/>
      <w:marRight w:val="0"/>
      <w:marTop w:val="0"/>
      <w:marBottom w:val="0"/>
      <w:divBdr>
        <w:top w:val="none" w:sz="0" w:space="0" w:color="auto"/>
        <w:left w:val="none" w:sz="0" w:space="0" w:color="auto"/>
        <w:bottom w:val="none" w:sz="0" w:space="0" w:color="auto"/>
        <w:right w:val="none" w:sz="0" w:space="0" w:color="auto"/>
      </w:divBdr>
    </w:div>
    <w:div w:id="143328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west-1.protection.sophos.com?d=thehabitat-bank.co.uk&amp;u=aHR0cDovL3d3dy50aGVoYWJpdGF0LWJhbmsuY28udWsv&amp;i=NjQzNjgyYjlkMDg5ZWYzMmU1YmI5YjNi&amp;t=RHR6OU51L2VNZDcwcElKU1hXNHl1bU94b29FVDkyaENnb0tDMVFNbGRIOD0=&amp;h=434816d195f246f5a87ea51e2987241c&amp;s=AVNPUEhUT0NFTkNSWVBUSVYTnxx64q2Q2NHETi2LeqguluBSo1qGTkq3EEcSccrWTw"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5.jpg@01DC99C0.596F28E0" TargetMode="External"/><Relationship Id="rId17" Type="http://schemas.openxmlformats.org/officeDocument/2006/relationships/hyperlink" Target="https://eu-west-1.protection.sophos.com?d=csxcarbon.com&amp;u=aHR0cDovL3d3dy5jc3hjYXJib24uY29tLw==&amp;i=NjQzNjgyYjlkMDg5ZWYzMmU1YmI5YjNi&amp;t=Yjl6NWpWdkRlaXk0SzI1c0hLSUJrTzhpbGdkQlJ2WjJVM3Jpd3BBRFBPUT0=&amp;h=e4067451ea6b4ce5a36d1b97b554852d&amp;s=AVNPUEhUT0NFTkNSWVBUSVZBseE0GZoqt-riF7Z2ZDUgJjui_S8r58w8uzR57z5bKw"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cid:image006.jpg@01DC99C0.596F28E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n@thehabitat-bank.co.uk"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6.tif"/><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Corporate Plan SDDC">
      <a:dk1>
        <a:sysClr val="windowText" lastClr="000000"/>
      </a:dk1>
      <a:lt1>
        <a:sysClr val="window" lastClr="FFFFFF"/>
      </a:lt1>
      <a:dk2>
        <a:srgbClr val="2D0054"/>
      </a:dk2>
      <a:lt2>
        <a:srgbClr val="F2F2F2"/>
      </a:lt2>
      <a:accent1>
        <a:srgbClr val="2D0054"/>
      </a:accent1>
      <a:accent2>
        <a:srgbClr val="99CC00"/>
      </a:accent2>
      <a:accent3>
        <a:srgbClr val="00CC00"/>
      </a:accent3>
      <a:accent4>
        <a:srgbClr val="D60093"/>
      </a:accent4>
      <a:accent5>
        <a:srgbClr val="0066CC"/>
      </a:accent5>
      <a:accent6>
        <a:srgbClr val="FF9900"/>
      </a:accent6>
      <a:hlink>
        <a:srgbClr val="0070C0"/>
      </a:hlink>
      <a:folHlink>
        <a:srgbClr val="800080"/>
      </a:folHlink>
    </a:clrScheme>
    <a:fontScheme name="SDDC Corporate">
      <a:majorFont>
        <a:latin typeface="Trebuchet MS"/>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A79702CB3DC140A522B3FDC9A0B4E0" ma:contentTypeVersion="8" ma:contentTypeDescription="Create a new document." ma:contentTypeScope="" ma:versionID="8ceaf7ac193c0d15cf4274a1b190e24f">
  <xsd:schema xmlns:xsd="http://www.w3.org/2001/XMLSchema" xmlns:xs="http://www.w3.org/2001/XMLSchema" xmlns:p="http://schemas.microsoft.com/office/2006/metadata/properties" xmlns:ns2="936ec96f-f844-40fa-9883-c0e6b59ce183" xmlns:ns3="525e811e-44eb-404e-9f67-d3062d54db2f" targetNamespace="http://schemas.microsoft.com/office/2006/metadata/properties" ma:root="true" ma:fieldsID="8db34357252528465aa100e2cbb27665" ns2:_="" ns3:_="">
    <xsd:import namespace="936ec96f-f844-40fa-9883-c0e6b59ce183"/>
    <xsd:import namespace="525e811e-44eb-404e-9f67-d3062d54db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ec96f-f844-40fa-9883-c0e6b59ce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5e811e-44eb-404e-9f67-d3062d54db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3DF09-F4BA-45DC-BE37-D452C488A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ec96f-f844-40fa-9883-c0e6b59ce183"/>
    <ds:schemaRef ds:uri="525e811e-44eb-404e-9f67-d3062d54db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BC4E29-52DB-449F-ABD5-62ED4EE842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0FF559-FD7A-45A5-AEA2-945E968AFFD6}">
  <ds:schemaRefs>
    <ds:schemaRef ds:uri="http://schemas.openxmlformats.org/officeDocument/2006/bibliography"/>
  </ds:schemaRefs>
</ds:datastoreItem>
</file>

<file path=customXml/itemProps4.xml><?xml version="1.0" encoding="utf-8"?>
<ds:datastoreItem xmlns:ds="http://schemas.openxmlformats.org/officeDocument/2006/customXml" ds:itemID="{590B5B77-E311-419A-AE57-30BBC070C2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9055</Words>
  <Characters>53128</Characters>
  <Application>Microsoft Office Word</Application>
  <DocSecurity>4</DocSecurity>
  <Lines>1021</Lines>
  <Paragraphs>380</Paragraphs>
  <ScaleCrop>false</ScaleCrop>
  <Company>South Derbyshire District Council</Company>
  <LinksUpToDate>false</LinksUpToDate>
  <CharactersWithSpaces>62198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Rawlins</dc:creator>
  <cp:keywords/>
  <dc:description/>
  <cp:lastModifiedBy>Cassandra Carruthers</cp:lastModifiedBy>
  <cp:revision>2</cp:revision>
  <dcterms:created xsi:type="dcterms:W3CDTF">2026-03-25T14:21:00Z</dcterms:created>
  <dcterms:modified xsi:type="dcterms:W3CDTF">2026-03-25T14:21:00Z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0x01010037A79702CB3DC140A522B3FDC9A0B4E0</vt:lpwstr>
  </property>
</Properties>
</file>